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9EEC4">
      <w:pPr>
        <w:adjustRightInd w:val="0"/>
        <w:snapToGrid w:val="0"/>
        <w:spacing w:line="360" w:lineRule="auto"/>
        <w:jc w:val="center"/>
        <w:rPr>
          <w:rFonts w:hint="eastAsia" w:ascii="宋体" w:hAnsi="宋体" w:cs="宋体"/>
          <w:b/>
          <w:bCs/>
          <w:spacing w:val="26"/>
          <w:sz w:val="36"/>
          <w:szCs w:val="36"/>
          <w:highlight w:val="none"/>
        </w:rPr>
      </w:pPr>
      <w:r>
        <w:rPr>
          <w:rFonts w:hint="eastAsia" w:ascii="宋体" w:hAnsi="宋体" w:cs="宋体"/>
          <w:b/>
          <w:bCs/>
          <w:spacing w:val="26"/>
          <w:sz w:val="36"/>
          <w:szCs w:val="36"/>
          <w:highlight w:val="none"/>
        </w:rPr>
        <w:t>西安市长安区子午区域敬老院</w:t>
      </w:r>
    </w:p>
    <w:p w14:paraId="133CB70C">
      <w:pPr>
        <w:adjustRightInd w:val="0"/>
        <w:snapToGrid w:val="0"/>
        <w:spacing w:line="360" w:lineRule="auto"/>
        <w:jc w:val="center"/>
        <w:rPr>
          <w:rFonts w:hint="eastAsia" w:ascii="宋体" w:hAnsi="宋体" w:cs="宋体"/>
          <w:b/>
          <w:bCs/>
          <w:spacing w:val="26"/>
          <w:sz w:val="36"/>
          <w:szCs w:val="36"/>
          <w:highlight w:val="none"/>
        </w:rPr>
      </w:pPr>
      <w:r>
        <w:rPr>
          <w:rFonts w:hint="eastAsia" w:ascii="宋体" w:hAnsi="宋体" w:cs="宋体"/>
          <w:b/>
          <w:bCs/>
          <w:spacing w:val="26"/>
          <w:sz w:val="36"/>
          <w:szCs w:val="36"/>
          <w:highlight w:val="none"/>
        </w:rPr>
        <w:t>购买照料服务项目</w:t>
      </w:r>
    </w:p>
    <w:p w14:paraId="256A64F2">
      <w:pPr>
        <w:spacing w:line="360" w:lineRule="auto"/>
        <w:jc w:val="center"/>
        <w:rPr>
          <w:rFonts w:hint="eastAsia" w:ascii="宋体" w:hAnsi="宋体" w:cs="宋体"/>
          <w:b/>
          <w:bCs/>
          <w:spacing w:val="26"/>
          <w:sz w:val="84"/>
          <w:szCs w:val="84"/>
          <w:highlight w:val="none"/>
        </w:rPr>
      </w:pPr>
    </w:p>
    <w:p w14:paraId="05BEF4FF">
      <w:pPr>
        <w:pStyle w:val="2"/>
        <w:rPr>
          <w:rFonts w:hint="eastAsia"/>
          <w:highlight w:val="none"/>
          <w:lang w:eastAsia="zh-CN"/>
        </w:rPr>
      </w:pPr>
    </w:p>
    <w:p w14:paraId="008D923C">
      <w:pPr>
        <w:spacing w:line="360" w:lineRule="auto"/>
        <w:jc w:val="center"/>
        <w:rPr>
          <w:rFonts w:hint="eastAsia" w:ascii="宋体" w:hAnsi="宋体" w:cs="宋体"/>
          <w:b/>
          <w:bCs/>
          <w:sz w:val="84"/>
          <w:szCs w:val="84"/>
          <w:highlight w:val="none"/>
        </w:rPr>
      </w:pPr>
      <w:r>
        <w:rPr>
          <w:rFonts w:hint="eastAsia" w:ascii="宋体" w:hAnsi="宋体" w:cs="宋体"/>
          <w:b/>
          <w:bCs/>
          <w:sz w:val="84"/>
          <w:szCs w:val="84"/>
          <w:highlight w:val="none"/>
        </w:rPr>
        <w:t>服务合同</w:t>
      </w:r>
    </w:p>
    <w:p w14:paraId="240BB79D">
      <w:pPr>
        <w:spacing w:line="360" w:lineRule="auto"/>
        <w:jc w:val="center"/>
        <w:rPr>
          <w:rFonts w:hint="eastAsia" w:ascii="宋体" w:hAnsi="宋体" w:cs="宋体"/>
          <w:b/>
          <w:bCs/>
          <w:spacing w:val="26"/>
          <w:sz w:val="36"/>
          <w:szCs w:val="36"/>
          <w:highlight w:val="none"/>
        </w:rPr>
      </w:pPr>
      <w:r>
        <w:rPr>
          <w:rFonts w:hint="eastAsia" w:ascii="宋体" w:hAnsi="宋体" w:cs="宋体"/>
          <w:b/>
          <w:bCs/>
          <w:sz w:val="32"/>
          <w:szCs w:val="32"/>
          <w:highlight w:val="none"/>
        </w:rPr>
        <w:t>项目编号：</w:t>
      </w:r>
      <w:r>
        <w:rPr>
          <w:rFonts w:hint="eastAsia" w:ascii="宋体" w:hAnsi="宋体" w:cs="宋体"/>
          <w:b/>
          <w:bCs/>
          <w:spacing w:val="26"/>
          <w:sz w:val="36"/>
          <w:szCs w:val="36"/>
          <w:highlight w:val="none"/>
        </w:rPr>
        <w:t xml:space="preserve"> </w:t>
      </w:r>
    </w:p>
    <w:p w14:paraId="1A3CF84F">
      <w:pPr>
        <w:spacing w:line="360" w:lineRule="auto"/>
        <w:rPr>
          <w:rFonts w:hint="eastAsia" w:ascii="宋体" w:hAnsi="宋体" w:cs="宋体"/>
          <w:b/>
          <w:sz w:val="32"/>
          <w:szCs w:val="32"/>
          <w:highlight w:val="none"/>
        </w:rPr>
      </w:pPr>
    </w:p>
    <w:p w14:paraId="42CCCC86">
      <w:pPr>
        <w:spacing w:line="360" w:lineRule="auto"/>
        <w:rPr>
          <w:rFonts w:hint="eastAsia" w:ascii="宋体" w:hAnsi="宋体" w:cs="宋体"/>
          <w:b/>
          <w:sz w:val="32"/>
          <w:szCs w:val="32"/>
          <w:highlight w:val="none"/>
        </w:rPr>
      </w:pPr>
    </w:p>
    <w:p w14:paraId="20F9AD7D">
      <w:pPr>
        <w:spacing w:line="360" w:lineRule="auto"/>
        <w:rPr>
          <w:rFonts w:hint="eastAsia" w:ascii="宋体" w:hAnsi="宋体" w:cs="宋体"/>
          <w:b/>
          <w:sz w:val="32"/>
          <w:szCs w:val="32"/>
          <w:highlight w:val="none"/>
        </w:rPr>
      </w:pPr>
    </w:p>
    <w:p w14:paraId="59DA41DE">
      <w:pPr>
        <w:spacing w:line="360" w:lineRule="auto"/>
        <w:rPr>
          <w:rFonts w:hint="eastAsia" w:ascii="宋体" w:hAnsi="宋体" w:cs="宋体"/>
          <w:b/>
          <w:sz w:val="32"/>
          <w:szCs w:val="32"/>
          <w:highlight w:val="none"/>
        </w:rPr>
      </w:pPr>
    </w:p>
    <w:p w14:paraId="42E92564">
      <w:pPr>
        <w:pStyle w:val="2"/>
        <w:rPr>
          <w:rFonts w:hint="eastAsia"/>
          <w:highlight w:val="none"/>
          <w:lang w:eastAsia="zh-CN"/>
        </w:rPr>
      </w:pPr>
    </w:p>
    <w:p w14:paraId="65160278">
      <w:pPr>
        <w:rPr>
          <w:rFonts w:hint="eastAsia"/>
          <w:highlight w:val="none"/>
        </w:rPr>
      </w:pPr>
    </w:p>
    <w:p w14:paraId="47E7F7E6">
      <w:pPr>
        <w:spacing w:line="360" w:lineRule="auto"/>
        <w:rPr>
          <w:rFonts w:hint="eastAsia" w:ascii="宋体" w:hAnsi="宋体" w:cs="宋体"/>
          <w:b/>
          <w:sz w:val="32"/>
          <w:szCs w:val="32"/>
          <w:highlight w:val="none"/>
        </w:rPr>
      </w:pPr>
    </w:p>
    <w:p w14:paraId="0CD0D73C">
      <w:pPr>
        <w:spacing w:line="360" w:lineRule="auto"/>
        <w:jc w:val="center"/>
        <w:rPr>
          <w:rFonts w:ascii="宋体" w:hAnsi="宋体" w:cs="宋体"/>
          <w:b/>
          <w:bCs/>
          <w:sz w:val="30"/>
          <w:szCs w:val="30"/>
          <w:highlight w:val="none"/>
          <w:u w:val="single"/>
        </w:rPr>
      </w:pPr>
      <w:r>
        <w:rPr>
          <w:rFonts w:hint="eastAsia" w:ascii="宋体" w:hAnsi="宋体" w:cs="宋体"/>
          <w:b/>
          <w:bCs/>
          <w:sz w:val="30"/>
          <w:szCs w:val="30"/>
          <w:highlight w:val="none"/>
        </w:rPr>
        <w:t>甲方：</w:t>
      </w:r>
      <w:r>
        <w:rPr>
          <w:rFonts w:hint="eastAsia" w:ascii="宋体" w:hAnsi="宋体" w:cs="宋体"/>
          <w:b/>
          <w:bCs/>
          <w:sz w:val="30"/>
          <w:szCs w:val="30"/>
          <w:highlight w:val="none"/>
          <w:u w:val="single"/>
        </w:rPr>
        <w:t>西安市长安区子午区域敬老院</w:t>
      </w:r>
    </w:p>
    <w:p w14:paraId="46E400BE">
      <w:pPr>
        <w:spacing w:line="360" w:lineRule="auto"/>
        <w:ind w:firstLine="1807" w:firstLineChars="600"/>
        <w:jc w:val="both"/>
        <w:rPr>
          <w:rFonts w:hint="default" w:ascii="宋体" w:hAnsi="宋体" w:eastAsia="宋体" w:cs="宋体"/>
          <w:b/>
          <w:bCs/>
          <w:sz w:val="30"/>
          <w:szCs w:val="30"/>
          <w:highlight w:val="none"/>
          <w:u w:val="single"/>
          <w:lang w:val="en-US" w:eastAsia="zh-CN"/>
        </w:rPr>
      </w:pPr>
      <w:r>
        <w:rPr>
          <w:rFonts w:hint="eastAsia" w:ascii="宋体" w:hAnsi="宋体" w:cs="宋体"/>
          <w:b/>
          <w:bCs/>
          <w:sz w:val="30"/>
          <w:szCs w:val="30"/>
          <w:highlight w:val="none"/>
        </w:rPr>
        <w:t>乙方：</w:t>
      </w:r>
      <w:r>
        <w:rPr>
          <w:rFonts w:hint="eastAsia" w:ascii="宋体" w:hAnsi="宋体" w:cs="宋体"/>
          <w:b/>
          <w:bCs/>
          <w:sz w:val="30"/>
          <w:szCs w:val="30"/>
          <w:highlight w:val="none"/>
          <w:u w:val="single"/>
          <w:lang w:val="en-US" w:eastAsia="zh-CN"/>
        </w:rPr>
        <w:t xml:space="preserve">                   </w:t>
      </w:r>
    </w:p>
    <w:p w14:paraId="5B492EA4">
      <w:pPr>
        <w:jc w:val="center"/>
        <w:rPr>
          <w:rFonts w:hint="eastAsia" w:ascii="宋体" w:hAnsi="宋体" w:cs="宋体"/>
          <w:highlight w:val="none"/>
        </w:rPr>
      </w:pPr>
      <w:r>
        <w:rPr>
          <w:rFonts w:hint="eastAsia" w:ascii="宋体" w:hAnsi="宋体" w:cs="宋体"/>
          <w:b/>
          <w:bCs/>
          <w:spacing w:val="26"/>
          <w:sz w:val="30"/>
          <w:szCs w:val="30"/>
          <w:highlight w:val="none"/>
        </w:rPr>
        <w:t>日期：</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月</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日</w:t>
      </w:r>
    </w:p>
    <w:p w14:paraId="638C47CB">
      <w:pPr>
        <w:rPr>
          <w:rFonts w:hint="eastAsia" w:ascii="宋体" w:hAnsi="宋体" w:cs="宋体"/>
          <w:highlight w:val="none"/>
        </w:rPr>
      </w:pPr>
    </w:p>
    <w:p w14:paraId="36D8D7B1">
      <w:pPr>
        <w:pStyle w:val="2"/>
        <w:ind w:firstLine="482" w:firstLineChars="200"/>
        <w:rPr>
          <w:rFonts w:hint="default" w:ascii="宋体" w:hAnsi="宋体" w:cs="宋体"/>
          <w:b/>
          <w:sz w:val="24"/>
          <w:highlight w:val="none"/>
          <w:lang w:val="en-US" w:eastAsia="zh-CN"/>
        </w:rPr>
      </w:pPr>
    </w:p>
    <w:p w14:paraId="06D62063">
      <w:pPr>
        <w:rPr>
          <w:rFonts w:hint="eastAsia" w:ascii="宋体" w:hAnsi="宋体" w:cs="宋体"/>
          <w:b/>
          <w:sz w:val="24"/>
          <w:highlight w:val="none"/>
        </w:rPr>
      </w:pPr>
    </w:p>
    <w:p w14:paraId="22720BB2">
      <w:pPr>
        <w:pStyle w:val="2"/>
        <w:rPr>
          <w:rFonts w:hint="eastAsia" w:ascii="宋体" w:hAnsi="宋体" w:cs="宋体"/>
          <w:b/>
          <w:sz w:val="24"/>
          <w:highlight w:val="none"/>
          <w:lang w:eastAsia="zh-CN"/>
        </w:rPr>
      </w:pPr>
    </w:p>
    <w:p w14:paraId="37061BE4">
      <w:pPr>
        <w:adjustRightInd w:val="0"/>
        <w:snapToGrid w:val="0"/>
        <w:spacing w:line="360" w:lineRule="auto"/>
        <w:ind w:firstLine="480" w:firstLineChars="200"/>
        <w:rPr>
          <w:rFonts w:hint="eastAsia" w:ascii="宋体" w:hAnsi="宋体" w:cs="宋体"/>
          <w:b/>
          <w:sz w:val="24"/>
          <w:highlight w:val="none"/>
          <w:u w:val="single"/>
        </w:rPr>
      </w:pPr>
      <w:bookmarkStart w:id="0" w:name="_Toc1655"/>
      <w:r>
        <w:rPr>
          <w:rFonts w:hint="eastAsia" w:ascii="宋体" w:hAnsi="宋体" w:eastAsia="宋体" w:cs="宋体"/>
          <w:bCs/>
          <w:color w:val="000000"/>
          <w:sz w:val="24"/>
          <w:highlight w:val="none"/>
          <w:lang w:val="en-US" w:eastAsia="zh-CN"/>
        </w:rPr>
        <w:br w:type="page"/>
      </w:r>
      <w:r>
        <w:rPr>
          <w:rFonts w:hint="eastAsia" w:ascii="宋体" w:hAnsi="宋体" w:cs="宋体"/>
          <w:b/>
          <w:sz w:val="24"/>
          <w:highlight w:val="none"/>
        </w:rPr>
        <w:t xml:space="preserve">甲方: </w:t>
      </w:r>
      <w:r>
        <w:rPr>
          <w:rFonts w:hint="eastAsia" w:ascii="宋体" w:hAnsi="宋体" w:cs="宋体"/>
          <w:b/>
          <w:sz w:val="24"/>
          <w:highlight w:val="none"/>
          <w:u w:val="single"/>
        </w:rPr>
        <w:t>西安市长安区子午区域敬老院</w:t>
      </w:r>
    </w:p>
    <w:p w14:paraId="6F40F0AE">
      <w:pPr>
        <w:adjustRightInd w:val="0"/>
        <w:snapToGrid w:val="0"/>
        <w:spacing w:line="360" w:lineRule="auto"/>
        <w:ind w:firstLine="482" w:firstLineChars="200"/>
        <w:rPr>
          <w:rFonts w:ascii="宋体" w:hAnsi="宋体" w:cs="宋体"/>
          <w:b/>
          <w:sz w:val="24"/>
          <w:highlight w:val="none"/>
          <w:u w:val="single"/>
        </w:rPr>
      </w:pPr>
      <w:r>
        <w:rPr>
          <w:rFonts w:hint="eastAsia" w:ascii="宋体" w:hAnsi="宋体" w:cs="宋体"/>
          <w:b/>
          <w:sz w:val="24"/>
          <w:highlight w:val="none"/>
        </w:rPr>
        <w:t>乙方：</w:t>
      </w:r>
      <w:r>
        <w:rPr>
          <w:rFonts w:hint="eastAsia" w:ascii="宋体" w:hAnsi="宋体" w:cs="宋体"/>
          <w:b/>
          <w:sz w:val="24"/>
          <w:highlight w:val="none"/>
          <w:u w:val="single"/>
        </w:rPr>
        <w:t xml:space="preserve">         </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single"/>
        </w:rPr>
        <w:t xml:space="preserve">   </w:t>
      </w:r>
    </w:p>
    <w:p w14:paraId="3EE18B28">
      <w:pPr>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eastAsia="zh-CN"/>
        </w:rPr>
        <w:t>甲</w:t>
      </w:r>
      <w:r>
        <w:rPr>
          <w:rFonts w:hint="eastAsia" w:ascii="宋体" w:hAnsi="宋体" w:cs="宋体"/>
          <w:sz w:val="24"/>
          <w:highlight w:val="none"/>
        </w:rPr>
        <w:t>方通过</w:t>
      </w:r>
      <w:r>
        <w:rPr>
          <w:rFonts w:hint="eastAsia" w:ascii="宋体" w:hAnsi="宋体" w:cs="宋体"/>
          <w:sz w:val="24"/>
          <w:highlight w:val="none"/>
          <w:lang w:eastAsia="zh-CN"/>
        </w:rPr>
        <w:t>采购</w:t>
      </w:r>
      <w:r>
        <w:rPr>
          <w:rFonts w:hint="eastAsia" w:ascii="宋体" w:hAnsi="宋体" w:cs="宋体"/>
          <w:sz w:val="24"/>
          <w:highlight w:val="none"/>
        </w:rPr>
        <w:t>确认乙方为西安市长安区子午区域敬老院购买照料服务项目供应商。经双方充分、友好协商，签立本协议书，以资共同遵守。</w:t>
      </w:r>
    </w:p>
    <w:p w14:paraId="7F69F02D">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一</w:t>
      </w:r>
      <w:r>
        <w:rPr>
          <w:rFonts w:hint="eastAsia" w:ascii="宋体" w:hAnsi="宋体" w:eastAsia="宋体" w:cs="宋体"/>
          <w:bCs/>
          <w:color w:val="000000"/>
          <w:sz w:val="24"/>
          <w:highlight w:val="none"/>
        </w:rPr>
        <w:t>、服务要求</w:t>
      </w:r>
      <w:bookmarkEnd w:id="0"/>
    </w:p>
    <w:p w14:paraId="6D8A806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（一）乙方陪护公司需派专人负责对接甲方陪护服务业务，甲方休养人员入院时该负责人与甲方指定工作人员对接。</w:t>
      </w:r>
      <w:r>
        <w:rPr>
          <w:rFonts w:hint="eastAsia" w:ascii="宋体" w:hAnsi="宋体" w:eastAsia="宋体" w:cs="宋体"/>
          <w:bCs/>
          <w:color w:val="000000"/>
          <w:sz w:val="24"/>
          <w:highlight w:val="none"/>
          <w:lang w:val="en-US" w:eastAsia="zh-CN"/>
        </w:rPr>
        <w:t>在甲方休养人员急需住院时，乙方陪护公司负责人及护理人员应当在1小时内到达指定医院，与甲方工作人员对接并及时开始有效陪护。</w:t>
      </w:r>
    </w:p>
    <w:p w14:paraId="76309B55">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（二）住院期间甲方住院休养人员的安全由乙方全权负责</w:t>
      </w:r>
      <w:r>
        <w:rPr>
          <w:rFonts w:hint="eastAsia" w:ascii="宋体" w:hAnsi="宋体" w:eastAsia="宋体" w:cs="宋体"/>
          <w:bCs/>
          <w:color w:val="000000"/>
          <w:sz w:val="24"/>
          <w:highlight w:val="none"/>
          <w:lang w:val="en-US" w:eastAsia="zh-CN"/>
        </w:rPr>
        <w:t>，同时乙方在护理期间不得擅自带休养人员离开医院，特殊情况需甲方同意。为确保护理甲方休养人员住院期间生活护理的安全性及连续性，乙方无特殊原因中途不得更换护理人员。如需更换，经甲方同意后必须做好陪护接替衔接工作。</w:t>
      </w:r>
    </w:p>
    <w:p w14:paraId="22D6F683">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三）乙方陪护公司的护理人员在为甲方休养人员提供陪护服务时，应确保无传染病及其他影响陪护工作的身体疾病及心理疾病。在传染病病房陪护期间，乙方陪护人员除需无传染病及传染病病史外，还需严格执行医院传染病的相关制度，以及做好其自身防护，在此期间乙方陪护人员若患传染病，其治疗费用以及由此产生的相关的各种费用由乙方自行承担，与甲方无关。</w:t>
      </w:r>
    </w:p>
    <w:p w14:paraId="5E3F577A">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（四）、分项服务要求</w:t>
      </w:r>
    </w:p>
    <w:p w14:paraId="43E703B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1.采购人住院服务要求：</w:t>
      </w:r>
    </w:p>
    <w:p w14:paraId="23DD4FC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1.1供应商服务人员应在采购人的授权范围内开展工作，负责采购人老人住院期间的饮食照顾，供应商提供的饮食照护需要有餐饮行业相关的资质，确保采购人住院老人在住院期间的饮食安全；供应商服务人员负责记录采购人老人在住院期间一日三餐的真实情况，采购人会不定期对用餐记录进行核查。经采购人核查，如不合理，采购人不予核算。供应商服务公司为采购人老人在住院期间代买的一日三餐的费用需开具正规饮食费用发票，于采购人老人出院后采购人依据发票给予核算，采购人住院老人住院期间伙食费每天每人30元标准，根据实际支出核算，供应商服务人员代买的一日三餐费用不得超出每天伙食费上线，若多出，则由供应商服务公司自行承担，采购人无责承担多出部分的伙食费用。                                         </w:t>
      </w:r>
    </w:p>
    <w:p w14:paraId="34F2E07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出现紧急情况产生合理的应急日杂费用（如患者手术、急诊所需的护理垫等），在采购人工作人员同意后，需由供应商服务公司先行支付应急日杂费用，留存好相关用品小票或单据，开具相关用品正规发票，采购人将在采购人老人出院后根据相关用品小票、单据、正规发票给予供应商服务公司进行核算。</w:t>
      </w:r>
    </w:p>
    <w:p w14:paraId="25D04D4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供应商服务公司服务采购人老人的护理用品应进行完整的登记记录工作，对护理记录登记造册，形成服务记录清单，需将服务老人实际发生的饮食费用、手术应急辅材杂费分别列示，定期与采购人核对确认，并开具相对应发票。</w:t>
      </w:r>
    </w:p>
    <w:p w14:paraId="41A2CBD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1.4.服务细节流程</w:t>
      </w:r>
    </w:p>
    <w:p w14:paraId="79CB7D87">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1)入院前准备：接到服务任务后，供应商服务人员与甲方工作人员沟通，了解采购人老人的基本情况，如病情、生活习惯、特殊需求等；供应商服务人员提前到达医院，熟悉就医环境。</w:t>
      </w:r>
    </w:p>
    <w:p w14:paraId="7B94BCF0">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2)陪同检查治疗：按照医嘱，供应商服务人员陪同采购人住院老人进行各项检查和治疗，并协助其做好检查前的准备工作；在采购人老人检查治疗过程中，供应商服务人员需安抚其情绪，确保能配合医护人员的操作；供应商服务人员还应及时向医护人员反馈采购人住院老人的身体状况和不适反应。</w:t>
      </w:r>
    </w:p>
    <w:p w14:paraId="215C4D82">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3)生活照料：供应商服务人员需协助采购人住院老人进行日常生活护理，如洗漱、进食、穿衣、翻身、大小便等；根据其口味和病情，合理安排饮食，保证营养摄入；注意观察其皮肤状况，预防压疮等并发症的发生。以下为具体安排：</w:t>
      </w:r>
    </w:p>
    <w:p w14:paraId="56BEDC3E">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14:paraId="5F28D0E5">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07:30 - 11:00：根据口味和病情，合理准备早餐，对于有特殊饮食要求的人员，严格按照医嘱准备；协助进食，对于不能自行进食的人员，耐心喂食，注意进食速度和食量，防止呛噎；进食结束后，清理口腔和用餐区域，保持干净，早餐一般在8：30前使用完毕，并根据医生或护士的治疗用药安排，调整舒适的体位，做好照料服务。</w:t>
      </w:r>
    </w:p>
    <w:p w14:paraId="614B7188">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11:00 - 12:30：准备午餐，同样遵循口味和病情的要求；协助洗手，做好用餐准备；协助进食，过程中关注其食欲和进食情况；用餐结束后，清理口腔和用餐区域，为其安排舒适的休息姿势。</w:t>
      </w:r>
    </w:p>
    <w:p w14:paraId="58A91BD4">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12:30 - 14:30：帮助调整至舒适的睡眠姿势，拉好窗帘，营造安静的睡眠环境；在休息期间，定时巡视，观察其睡眠状态，如有异常及时处理。</w:t>
      </w:r>
    </w:p>
    <w:p w14:paraId="2E6AE523">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14:30 - 16:00：协助起床，进行简单的活动和洗漱，如洗手、洗脸；为其准备适量的水果或点心，补充能量；根据身体状况，安排适当的室内活动，如看书、下棋等。</w:t>
      </w:r>
    </w:p>
    <w:p w14:paraId="05489B1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14:paraId="15147DC0">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17:30 - 19:00：准备晚餐，协助用餐，过程同午餐；用餐结束后，清理口腔和用餐区域，保持卫生。</w:t>
      </w:r>
    </w:p>
    <w:p w14:paraId="2092D8DD">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19:00 - 20:30：协助进行晚间洗漱，包括刷牙、洗脸、洗脚、清洗会阴等；帮助其换上干净的睡衣，整理床铺，营造舒适的睡眠环境。</w:t>
      </w:r>
    </w:p>
    <w:p w14:paraId="0D0B0E7C">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14:paraId="672A7B7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心理关怀：供应商服务人员应关注采购人住院老人的情绪变化，给予心理支持和安慰；鼓励其表达内心感受，帮助其树立战胜疾病的信心；与采购人工作人员和家属保持沟通，及时反馈采购人住院老人的心理状态。</w:t>
      </w:r>
    </w:p>
    <w:p w14:paraId="12BAFB1D">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5)安全保障：供应商服务人员需确保采购人住院老人在医院内的安全，防止走失、摔倒、烫伤等意外事件的发生；且保管好个人物品，防止丢失或损坏；供应商服务人员需严格遵守医院的规章制度，不擅自离开服务岗位。</w:t>
      </w:r>
    </w:p>
    <w:p w14:paraId="7588B62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6)出院准备：接到出院通知后，供应商服务人员协助采购人住院老人办理出院手续，领取药品和相关资料；准备好出院所需物品，护送其安全返回采购人处；与采购人工作人员做好交接工作，详细介绍采购人老人在医院的治疗情况和出院后的注意事项。</w:t>
      </w:r>
    </w:p>
    <w:p w14:paraId="7244B43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 7)工作情况记录</w:t>
      </w:r>
    </w:p>
    <w:p w14:paraId="63B6296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供应商服务人员需建立详细的工作记录表格，记录内容包括采购人住院老人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供应商服务人员要及时在记录表格中进行填写，确保记录的准确性和及时性。对于异常情况，如病情加重、情绪波动等，详细记录发生时间、表现和处理措施。每天下班前，供应商服务人员对当天的工作记录进行整理和总结，确保服务的连续性。</w:t>
      </w:r>
    </w:p>
    <w:p w14:paraId="142403E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2.采购人洗澡照料服务要求：</w:t>
      </w:r>
    </w:p>
    <w:p w14:paraId="1BFF1CE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2.1服务目标：</w:t>
      </w:r>
    </w:p>
    <w:p w14:paraId="6A02C0F2">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2.1.1 解决敬老院入住院民洗浴难题，提升生活质量。</w:t>
      </w:r>
    </w:p>
    <w:p w14:paraId="70EB1DA3">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2.1.2 预防因清洁不足导致问题，如皮肤感染、压疮、异味等。</w:t>
      </w:r>
    </w:p>
    <w:p w14:paraId="7D716BC8">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2.1.3通过专业服务保障老人安全与尊严。</w:t>
      </w:r>
    </w:p>
    <w:p w14:paraId="31241EA2">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2.2服务对象评估</w:t>
      </w:r>
    </w:p>
    <w:p w14:paraId="3142CD31">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健康筛查：血压、体温、皮肤状况（破损/压疮）、认知能力、移动能力。</w:t>
      </w:r>
    </w:p>
    <w:p w14:paraId="11537A77">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禁忌症排查：严重心脏病、近期手术、感染性疾病、意识不清等暂缓服务。</w:t>
      </w:r>
    </w:p>
    <w:p w14:paraId="11D271E3">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环境评估：评估当日天气情况、浴室温度、冬天暖气开放情况、水温等，保障服务安全。</w:t>
      </w:r>
    </w:p>
    <w:p w14:paraId="2C0E5C3A">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2.3人员配置与培训</w:t>
      </w:r>
    </w:p>
    <w:p w14:paraId="3FB73362">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2.3.1人员配置：</w:t>
      </w:r>
    </w:p>
    <w:tbl>
      <w:tblPr>
        <w:tblStyle w:val="4"/>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8"/>
        <w:gridCol w:w="6121"/>
      </w:tblGrid>
      <w:tr w14:paraId="59DC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38" w:type="dxa"/>
            <w:noWrap w:val="0"/>
            <w:vAlign w:val="center"/>
          </w:tcPr>
          <w:p w14:paraId="37C538A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角色</w:t>
            </w:r>
          </w:p>
        </w:tc>
        <w:tc>
          <w:tcPr>
            <w:tcW w:w="6121" w:type="dxa"/>
            <w:noWrap w:val="0"/>
            <w:vAlign w:val="center"/>
          </w:tcPr>
          <w:p w14:paraId="1D015D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职责</w:t>
            </w:r>
          </w:p>
        </w:tc>
      </w:tr>
      <w:tr w14:paraId="3330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438" w:type="dxa"/>
            <w:noWrap w:val="0"/>
            <w:vAlign w:val="center"/>
          </w:tcPr>
          <w:p w14:paraId="2645AA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养老护理员</w:t>
            </w:r>
          </w:p>
        </w:tc>
        <w:tc>
          <w:tcPr>
            <w:tcW w:w="6121" w:type="dxa"/>
            <w:noWrap w:val="0"/>
            <w:vAlign w:val="center"/>
          </w:tcPr>
          <w:p w14:paraId="48A3D99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熟悉老人转移技巧、心理沟通技巧、负责助浴实际操作。</w:t>
            </w:r>
          </w:p>
        </w:tc>
      </w:tr>
      <w:tr w14:paraId="5D23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38" w:type="dxa"/>
            <w:noWrap w:val="0"/>
            <w:vAlign w:val="center"/>
          </w:tcPr>
          <w:p w14:paraId="379EBAF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护士</w:t>
            </w:r>
          </w:p>
        </w:tc>
        <w:tc>
          <w:tcPr>
            <w:tcW w:w="6121" w:type="dxa"/>
            <w:noWrap w:val="0"/>
            <w:vAlign w:val="center"/>
          </w:tcPr>
          <w:p w14:paraId="09010C0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负责健康监测，应对突发情况。</w:t>
            </w:r>
          </w:p>
        </w:tc>
      </w:tr>
      <w:tr w14:paraId="3A52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2438" w:type="dxa"/>
            <w:noWrap w:val="0"/>
            <w:vAlign w:val="center"/>
          </w:tcPr>
          <w:p w14:paraId="2B251A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后勤支持</w:t>
            </w:r>
          </w:p>
        </w:tc>
        <w:tc>
          <w:tcPr>
            <w:tcW w:w="6121" w:type="dxa"/>
            <w:noWrap w:val="0"/>
            <w:vAlign w:val="center"/>
          </w:tcPr>
          <w:p w14:paraId="7924125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负责运输设备、人员，清洁消毒。</w:t>
            </w:r>
          </w:p>
        </w:tc>
      </w:tr>
    </w:tbl>
    <w:p w14:paraId="51D54630">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2.3.2培训重点：</w:t>
      </w:r>
    </w:p>
    <w:p w14:paraId="5F3B6B25">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1)失能老人转移技巧。</w:t>
      </w:r>
    </w:p>
    <w:p w14:paraId="340FEBD7">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2)突发低血压、跌倒的应急处理。</w:t>
      </w:r>
    </w:p>
    <w:p w14:paraId="664E9222">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3)认知症老人情绪安抚方法。</w:t>
      </w:r>
    </w:p>
    <w:p w14:paraId="5F54104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4)敬老院老人心理特点。</w:t>
      </w:r>
    </w:p>
    <w:p w14:paraId="7B851835">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2.4标准化服务流程</w:t>
      </w:r>
    </w:p>
    <w:p w14:paraId="3CCBE704">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 准备阶段</w:t>
      </w:r>
    </w:p>
    <w:p w14:paraId="603CB2E4">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环境布置：关闭门窗，室温调至26-28℃。检查防滑垫，浴椅固定是否稳固。</w:t>
      </w:r>
    </w:p>
    <w:p w14:paraId="6F13578E">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设备检查：测试水温（先手背测温）、排水管密封性；准备备用冷/热水桶。 </w:t>
      </w:r>
    </w:p>
    <w:p w14:paraId="20C60647">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老人准备：提前如厕、告知老人今天需要洗澡了。测量并记录血压（若＞160/95mmHg延迟服务）。</w:t>
      </w:r>
    </w:p>
    <w:p w14:paraId="0ED6E3F3">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洗浴过程</w:t>
      </w:r>
    </w:p>
    <w:p w14:paraId="287449C5">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转移：使用移位板或双人扶抱法将老人移至浴椅，系好安全带。  </w:t>
      </w:r>
    </w:p>
    <w:p w14:paraId="68D3164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清洁顺序：  头发→面部→上肢→前胸后背→下肢→会阴部（最后清洁，避免交叉感染）。失禁老人需先用温水冲洗污物。</w:t>
      </w:r>
    </w:p>
    <w:p w14:paraId="1336FEC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关键操作：全程一人负责清洗、一人负责安全保障,水流避开耳、鼻，棉球塞耳防进水,搓洗力度轻柔（尤其服用抗凝药者）。</w:t>
      </w:r>
    </w:p>
    <w:p w14:paraId="3E39172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3)结束后处理</w:t>
      </w:r>
    </w:p>
    <w:p w14:paraId="4D002BC7">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保暖：速用穿衣保暖，吹干头发（低温档，距离30cm）。  </w:t>
      </w:r>
    </w:p>
    <w:p w14:paraId="5C42AFBC">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皮肤护理：褶皱处（腋下、腹股沟）涂润肤露，检查有无压红。  </w:t>
      </w:r>
    </w:p>
    <w:p w14:paraId="4BBD5EA0">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健康复查：测血压、体温，观察有无寒颤或面色苍白。  </w:t>
      </w:r>
    </w:p>
    <w:p w14:paraId="700C27A4">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设备消毒：浴椅用含氯消毒剂/酒精喷洒消毒，毛巾高温清洗、搓澡巾一人一用。</w:t>
      </w:r>
    </w:p>
    <w:p w14:paraId="3F6140DC">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2.5风险应急预案</w:t>
      </w:r>
    </w:p>
    <w:p w14:paraId="267325F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1)突发晕厥：立即停止洗浴，平卧、抬高下肢，测血压/脉搏，通知医护人员。</w:t>
      </w:r>
    </w:p>
    <w:p w14:paraId="329FD67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2)皮肤破损：用无菌敷料覆盖，碘伏消毒，记录并告知敬老院工作人员。</w:t>
      </w:r>
    </w:p>
    <w:p w14:paraId="2E7BAC6C">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3)水温异常：备冷水/热水桶现场调节，恒温器故障时手动测温（每2分钟1次）。</w:t>
      </w:r>
    </w:p>
    <w:p w14:paraId="12AB3DD6">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4)老人抗拒：暂停服务，用安抚话术（如“我们慢慢来”），认知症老人可用分散注意力物品。</w:t>
      </w:r>
    </w:p>
    <w:p w14:paraId="26364B9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2.6质量保障机制</w:t>
      </w:r>
    </w:p>
    <w:p w14:paraId="366AD82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三方反馈：每次服务后收集老人、院方、服务人员满意度（1-5分评分）。</w:t>
      </w:r>
    </w:p>
    <w:p w14:paraId="6AC6DFC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 事故追踪：分析跌倒/烫伤等事件根本原因，优化流程。</w:t>
      </w:r>
    </w:p>
    <w:p w14:paraId="5CAEBD9B">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 季度培训：更新急救知识、助浴技术。</w:t>
      </w:r>
    </w:p>
    <w:p w14:paraId="1AD6B3D1">
      <w:pPr>
        <w:numPr>
          <w:ilvl w:val="0"/>
          <w:numId w:val="0"/>
        </w:numPr>
        <w:adjustRightInd w:val="0"/>
        <w:snapToGrid w:val="0"/>
        <w:spacing w:line="360" w:lineRule="auto"/>
        <w:jc w:val="left"/>
        <w:rPr>
          <w:rFonts w:hint="eastAsia" w:ascii="Times New Roman" w:hAnsi="宋体" w:eastAsia="宋体" w:cs="宋体"/>
          <w:b w:val="0"/>
          <w:bCs w:val="0"/>
          <w:color w:val="000000"/>
          <w:sz w:val="24"/>
          <w:szCs w:val="24"/>
          <w:highlight w:val="none"/>
          <w:lang w:val="en-US" w:eastAsia="zh-CN"/>
        </w:rPr>
      </w:pPr>
      <w:r>
        <w:rPr>
          <w:rFonts w:hint="eastAsia" w:ascii="Times New Roman" w:hAnsi="宋体" w:eastAsia="宋体" w:cs="宋体"/>
          <w:b w:val="0"/>
          <w:bCs w:val="0"/>
          <w:color w:val="000000"/>
          <w:sz w:val="24"/>
          <w:szCs w:val="24"/>
          <w:highlight w:val="none"/>
          <w:lang w:val="en-US" w:eastAsia="zh-CN"/>
        </w:rPr>
        <w:t>3.康复照料服务要求</w:t>
      </w:r>
    </w:p>
    <w:p w14:paraId="7BA89B7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根据《陕西省人民政府关于进一步健全特困人员救助供养制度的实施意见》（陕政发〔2017〕17号）、《西安市特困人员救助供养实施办法》（市民发〔2024〕73号）、《西安市医疗保障局等五部门关于进一步做好城乡重特大疾病医疗救助工作的通知》（市医保发〔2023〕28 号）等相关规定，结合敬老院实际情况，特提出如下服务要求：</w:t>
      </w:r>
    </w:p>
    <w:p w14:paraId="2EDBC81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3.1康复目的：供应商需根据专业康复训练师评估结果，结合敬老院患者实际康复需求，达到以下三类康复目的： </w:t>
      </w:r>
    </w:p>
    <w:p w14:paraId="3A883033">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3.1.1提升肢体功能：对于患有肌肉萎缩、关节疾患、偏瘫等肢体功能障碍患者，进行功能锻炼，以提升肢体功能，直接达到提升生活自理能力的目的。</w:t>
      </w:r>
    </w:p>
    <w:p w14:paraId="41516EAC">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3.1.2.延缓功能衰退：对于存在肢体功能障碍，但因患病时间过长等因素导致功能逐渐下降的患者，以辅助锻炼，物理治疗等康复手段，达到延缓功能降低的目的。</w:t>
      </w:r>
    </w:p>
    <w:p w14:paraId="13D214E4">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3.1.3降低各项风险：对于跌倒高风险、烫伤高风险等存在高危因素的患者，通过作业治疗、社会/家庭适应能力训练等方法，协助患者养成良好的习惯，降低风险因素，减少意外发生的概率。</w:t>
      </w:r>
    </w:p>
    <w:p w14:paraId="507C5D2D">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3.2需求分类</w:t>
      </w:r>
    </w:p>
    <w:p w14:paraId="078D6F76">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1.康复指导：对于部分病程过长、康复进度太慢的患者，进行康复指导；利用患者日常生活中空余时间和敬老院现有康复资源，由护理员和敬老院康复师协助患者进行康复。</w:t>
      </w:r>
    </w:p>
    <w:p w14:paraId="0C3F32BE">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2.功能锻炼：对于功能预后较好，预计康复训练效果较好的患者，送至正规医院康复科进行住院康复。已达到提升生活自理能力或延缓功能降低的康复目的。</w:t>
      </w:r>
    </w:p>
    <w:p w14:paraId="7D93D5FA">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3.适应性训练：对于功能较好，但是生活自理能力较之不匹配，或者其他需要社会适应性训练的患者，送至医院康复科进行社会适应性训练，已达到降低风险因素或者提升生活自理能力的康复目的。</w:t>
      </w:r>
    </w:p>
    <w:p w14:paraId="157856A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3.3康复计划：</w:t>
      </w:r>
    </w:p>
    <w:p w14:paraId="74C73726">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所有需要住院康复的患者康复项目、时间、具体方案由康复医生制定，康复治疗师执行。每人每次住院康复时间为14天。由康复师整理每次康复档案，归档保存；本计划实施结束后所有档案交归敬老院保存。档案内容需包括：档案首页、初期评估、康复计划、康复目标、康复记录、末期评估、出院小结等内容。</w:t>
      </w:r>
    </w:p>
    <w:p w14:paraId="79A3FD38">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4.供应商服务人员的吃住、交通费用以及一切福利待遇等均由供应商服务公司自理。</w:t>
      </w:r>
    </w:p>
    <w:p w14:paraId="517F03BF">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供应商服务公司应对供应商服务人员加强培训和考核，所有供应商服务人员需持证上岗，用以保障甲方住院老人住院期间的日常生活与安全。供应商服务人员服务期间应服从病房医务人员的业务指导，积极配合医院治疗工作，同时应主动接受甲方的检查、监督及指导。</w:t>
      </w:r>
    </w:p>
    <w:p w14:paraId="5B7B21AC">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6.供应商服务公司应为每位供应商服务人员购买意外险并提供保险合同，并对其进行岗前培训，岗前培训合格者方可上岗；供应商服务公司需对供应商服务人员进行定期体检，并提供体检报告单，确保供应商服务人员能够胜任医院服务工作。供应商服务公司还应与服务人员存在雇佣合同关系，且需向采购人提供双方雇佣合同复印件。</w:t>
      </w:r>
    </w:p>
    <w:p w14:paraId="604A0F09">
      <w:pPr>
        <w:adjustRightInd w:val="0"/>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 w:val="0"/>
          <w:bCs w:val="0"/>
          <w:color w:val="auto"/>
          <w:sz w:val="24"/>
          <w:highlight w:val="none"/>
          <w:lang w:val="en-US" w:eastAsia="zh-CN"/>
        </w:rPr>
        <w:t>7.供应商服务公司及供应商服务人员不得以任何形式将采购人所有住院老人的个人信息及影像资料发布在公开网络平台，或泄露给其他第三方机构。如若发布或泄漏，采购人有权追究发布者、泄漏者的刑事责任和民事责任。</w:t>
      </w:r>
    </w:p>
    <w:p w14:paraId="1E361DE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val="en-US" w:eastAsia="zh-CN"/>
        </w:rPr>
        <w:t>二、</w:t>
      </w:r>
      <w:r>
        <w:rPr>
          <w:rFonts w:hint="eastAsia" w:ascii="宋体" w:hAnsi="宋体" w:eastAsia="宋体" w:cs="宋体"/>
          <w:bCs/>
          <w:color w:val="000000"/>
          <w:sz w:val="24"/>
          <w:highlight w:val="none"/>
          <w:lang w:eastAsia="zh-CN"/>
        </w:rPr>
        <w:t>服务内容</w:t>
      </w:r>
    </w:p>
    <w:tbl>
      <w:tblPr>
        <w:tblStyle w:val="4"/>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3"/>
        <w:gridCol w:w="1248"/>
        <w:gridCol w:w="3005"/>
        <w:gridCol w:w="3577"/>
      </w:tblGrid>
      <w:tr w14:paraId="75A4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3" w:type="dxa"/>
            <w:noWrap w:val="0"/>
            <w:vAlign w:val="center"/>
          </w:tcPr>
          <w:p w14:paraId="44AFF841">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序号</w:t>
            </w:r>
          </w:p>
        </w:tc>
        <w:tc>
          <w:tcPr>
            <w:tcW w:w="4253" w:type="dxa"/>
            <w:gridSpan w:val="2"/>
            <w:noWrap w:val="0"/>
            <w:vAlign w:val="center"/>
          </w:tcPr>
          <w:p w14:paraId="057E4383">
            <w:pPr>
              <w:snapToGrid w:val="0"/>
              <w:spacing w:line="240" w:lineRule="auto"/>
              <w:jc w:val="center"/>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服务内容</w:t>
            </w:r>
          </w:p>
        </w:tc>
        <w:tc>
          <w:tcPr>
            <w:tcW w:w="3577" w:type="dxa"/>
            <w:noWrap w:val="0"/>
            <w:vAlign w:val="center"/>
          </w:tcPr>
          <w:p w14:paraId="190C276A">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护理要求</w:t>
            </w:r>
          </w:p>
        </w:tc>
      </w:tr>
      <w:tr w14:paraId="5F35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3" w:type="dxa"/>
            <w:vMerge w:val="restart"/>
            <w:noWrap w:val="0"/>
            <w:vAlign w:val="center"/>
          </w:tcPr>
          <w:p w14:paraId="3D74503A">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1</w:t>
            </w:r>
          </w:p>
        </w:tc>
        <w:tc>
          <w:tcPr>
            <w:tcW w:w="1248" w:type="dxa"/>
            <w:vMerge w:val="restart"/>
            <w:noWrap w:val="0"/>
            <w:vAlign w:val="center"/>
          </w:tcPr>
          <w:p w14:paraId="266AE2B3">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住院照料服务</w:t>
            </w:r>
          </w:p>
        </w:tc>
        <w:tc>
          <w:tcPr>
            <w:tcW w:w="3005" w:type="dxa"/>
            <w:noWrap w:val="0"/>
            <w:vAlign w:val="center"/>
          </w:tcPr>
          <w:p w14:paraId="0E493981">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重症失能老人住院照料</w:t>
            </w:r>
          </w:p>
        </w:tc>
        <w:tc>
          <w:tcPr>
            <w:tcW w:w="3577" w:type="dxa"/>
            <w:noWrap w:val="0"/>
            <w:vAlign w:val="center"/>
          </w:tcPr>
          <w:p w14:paraId="2C4B3707">
            <w:pPr>
              <w:snapToGrid w:val="0"/>
              <w:spacing w:line="240" w:lineRule="auto"/>
              <w:jc w:val="center"/>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护理比例1；1</w:t>
            </w:r>
          </w:p>
          <w:p w14:paraId="66F4CBB8">
            <w:pPr>
              <w:snapToGrid w:val="0"/>
              <w:spacing w:line="240" w:lineRule="auto"/>
              <w:jc w:val="center"/>
              <w:rPr>
                <w:rFonts w:hint="default"/>
                <w:lang w:val="en-US" w:eastAsia="zh-CN"/>
              </w:rPr>
            </w:pPr>
            <w:r>
              <w:rPr>
                <w:rFonts w:hint="eastAsia" w:ascii="宋体" w:hAnsi="宋体" w:eastAsia="宋体" w:cs="宋体"/>
                <w:bCs/>
                <w:color w:val="000000"/>
                <w:sz w:val="24"/>
                <w:highlight w:val="none"/>
                <w:vertAlign w:val="baseline"/>
                <w:lang w:val="en-US" w:eastAsia="zh-CN"/>
              </w:rPr>
              <w:t>每小时翻身一次，勤擦拭身体</w:t>
            </w:r>
          </w:p>
        </w:tc>
      </w:tr>
      <w:tr w14:paraId="5417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3" w:type="dxa"/>
            <w:vMerge w:val="continue"/>
            <w:noWrap w:val="0"/>
            <w:vAlign w:val="center"/>
          </w:tcPr>
          <w:p w14:paraId="3B94EFAC">
            <w:pPr>
              <w:snapToGrid w:val="0"/>
              <w:spacing w:line="240" w:lineRule="auto"/>
              <w:jc w:val="center"/>
              <w:rPr>
                <w:rFonts w:hint="eastAsia" w:ascii="宋体" w:hAnsi="宋体" w:eastAsia="宋体" w:cs="宋体"/>
                <w:bCs/>
                <w:color w:val="000000"/>
                <w:sz w:val="24"/>
                <w:highlight w:val="none"/>
                <w:vertAlign w:val="baseline"/>
                <w:lang w:val="en-US" w:eastAsia="zh-CN"/>
              </w:rPr>
            </w:pPr>
          </w:p>
        </w:tc>
        <w:tc>
          <w:tcPr>
            <w:tcW w:w="1248" w:type="dxa"/>
            <w:vMerge w:val="continue"/>
            <w:noWrap w:val="0"/>
            <w:vAlign w:val="center"/>
          </w:tcPr>
          <w:p w14:paraId="21EC6B92">
            <w:pPr>
              <w:snapToGrid w:val="0"/>
              <w:spacing w:line="240" w:lineRule="auto"/>
              <w:jc w:val="center"/>
              <w:rPr>
                <w:rFonts w:hint="eastAsia" w:ascii="宋体" w:hAnsi="宋体" w:eastAsia="宋体" w:cs="宋体"/>
                <w:bCs/>
                <w:color w:val="000000"/>
                <w:sz w:val="24"/>
                <w:highlight w:val="none"/>
                <w:vertAlign w:val="baseline"/>
                <w:lang w:val="en-US" w:eastAsia="zh-CN"/>
              </w:rPr>
            </w:pPr>
          </w:p>
        </w:tc>
        <w:tc>
          <w:tcPr>
            <w:tcW w:w="3005" w:type="dxa"/>
            <w:noWrap w:val="0"/>
            <w:vAlign w:val="center"/>
          </w:tcPr>
          <w:p w14:paraId="76F7A716">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半失能老人住院照料</w:t>
            </w:r>
          </w:p>
        </w:tc>
        <w:tc>
          <w:tcPr>
            <w:tcW w:w="3577" w:type="dxa"/>
            <w:noWrap w:val="0"/>
            <w:vAlign w:val="center"/>
          </w:tcPr>
          <w:p w14:paraId="528CFD76">
            <w:pPr>
              <w:snapToGrid w:val="0"/>
              <w:spacing w:line="240" w:lineRule="auto"/>
              <w:jc w:val="center"/>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护理比例1；2</w:t>
            </w:r>
          </w:p>
        </w:tc>
      </w:tr>
      <w:tr w14:paraId="4340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3" w:type="dxa"/>
            <w:vMerge w:val="restart"/>
            <w:noWrap w:val="0"/>
            <w:vAlign w:val="center"/>
          </w:tcPr>
          <w:p w14:paraId="5DF750E2">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2</w:t>
            </w:r>
          </w:p>
        </w:tc>
        <w:tc>
          <w:tcPr>
            <w:tcW w:w="1248" w:type="dxa"/>
            <w:vMerge w:val="restart"/>
            <w:noWrap w:val="0"/>
            <w:vAlign w:val="center"/>
          </w:tcPr>
          <w:p w14:paraId="4C075653">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洗澡照料服务</w:t>
            </w:r>
          </w:p>
        </w:tc>
        <w:tc>
          <w:tcPr>
            <w:tcW w:w="3005" w:type="dxa"/>
            <w:noWrap w:val="0"/>
            <w:vAlign w:val="center"/>
          </w:tcPr>
          <w:p w14:paraId="641A6706">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失能老人洗澡照料服务</w:t>
            </w:r>
          </w:p>
        </w:tc>
        <w:tc>
          <w:tcPr>
            <w:tcW w:w="3577" w:type="dxa"/>
            <w:vMerge w:val="restart"/>
            <w:noWrap w:val="0"/>
            <w:vAlign w:val="center"/>
          </w:tcPr>
          <w:p w14:paraId="1B7004DA">
            <w:pPr>
              <w:snapToGrid w:val="0"/>
              <w:spacing w:line="240" w:lineRule="auto"/>
              <w:jc w:val="center"/>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做好工作记录：做好洗澡前的环境和人员身体状况评估；洗澡观察记录；安全工作记录。</w:t>
            </w:r>
          </w:p>
          <w:p w14:paraId="0CD2B8B8">
            <w:pPr>
              <w:snapToGrid w:val="0"/>
              <w:spacing w:line="240" w:lineRule="auto"/>
              <w:jc w:val="center"/>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洗浴用品由供应商提供。</w:t>
            </w:r>
          </w:p>
        </w:tc>
      </w:tr>
      <w:tr w14:paraId="6A2F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3" w:type="dxa"/>
            <w:vMerge w:val="continue"/>
            <w:noWrap w:val="0"/>
            <w:vAlign w:val="center"/>
          </w:tcPr>
          <w:p w14:paraId="64DE41E1">
            <w:pPr>
              <w:snapToGrid w:val="0"/>
              <w:spacing w:line="240" w:lineRule="auto"/>
              <w:jc w:val="center"/>
              <w:rPr>
                <w:rFonts w:hint="eastAsia" w:ascii="宋体" w:hAnsi="宋体" w:eastAsia="宋体" w:cs="宋体"/>
                <w:bCs/>
                <w:color w:val="000000"/>
                <w:sz w:val="24"/>
                <w:highlight w:val="none"/>
                <w:vertAlign w:val="baseline"/>
                <w:lang w:val="en-US" w:eastAsia="zh-CN"/>
              </w:rPr>
            </w:pPr>
          </w:p>
        </w:tc>
        <w:tc>
          <w:tcPr>
            <w:tcW w:w="1248" w:type="dxa"/>
            <w:vMerge w:val="continue"/>
            <w:noWrap w:val="0"/>
            <w:vAlign w:val="center"/>
          </w:tcPr>
          <w:p w14:paraId="748558A8">
            <w:pPr>
              <w:snapToGrid w:val="0"/>
              <w:spacing w:line="240" w:lineRule="auto"/>
              <w:jc w:val="center"/>
              <w:rPr>
                <w:rFonts w:hint="eastAsia" w:ascii="宋体" w:hAnsi="宋体" w:eastAsia="宋体" w:cs="宋体"/>
                <w:bCs/>
                <w:color w:val="000000"/>
                <w:sz w:val="24"/>
                <w:highlight w:val="none"/>
                <w:vertAlign w:val="baseline"/>
                <w:lang w:val="en-US" w:eastAsia="zh-CN"/>
              </w:rPr>
            </w:pPr>
          </w:p>
        </w:tc>
        <w:tc>
          <w:tcPr>
            <w:tcW w:w="3005" w:type="dxa"/>
            <w:noWrap w:val="0"/>
            <w:vAlign w:val="center"/>
          </w:tcPr>
          <w:p w14:paraId="4D48C5D4">
            <w:pPr>
              <w:snapToGrid w:val="0"/>
              <w:spacing w:line="240" w:lineRule="auto"/>
              <w:jc w:val="center"/>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半失能老人洗澡照料服务</w:t>
            </w:r>
          </w:p>
        </w:tc>
        <w:tc>
          <w:tcPr>
            <w:tcW w:w="3577" w:type="dxa"/>
            <w:vMerge w:val="continue"/>
            <w:noWrap w:val="0"/>
            <w:vAlign w:val="center"/>
          </w:tcPr>
          <w:p w14:paraId="2980707F">
            <w:pPr>
              <w:snapToGrid w:val="0"/>
              <w:spacing w:line="240" w:lineRule="auto"/>
              <w:jc w:val="center"/>
              <w:rPr>
                <w:rFonts w:hint="eastAsia" w:ascii="宋体" w:hAnsi="宋体" w:eastAsia="宋体" w:cs="宋体"/>
                <w:bCs/>
                <w:color w:val="000000"/>
                <w:sz w:val="24"/>
                <w:highlight w:val="none"/>
                <w:vertAlign w:val="baseline"/>
                <w:lang w:val="en-US" w:eastAsia="zh-CN"/>
              </w:rPr>
            </w:pPr>
          </w:p>
        </w:tc>
      </w:tr>
    </w:tbl>
    <w:p w14:paraId="61A6F97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做好休养人员信息管理和门禁管理工作。</w:t>
      </w:r>
    </w:p>
    <w:p w14:paraId="108583FE">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三、服务</w:t>
      </w:r>
      <w:r>
        <w:rPr>
          <w:rFonts w:hint="eastAsia" w:ascii="宋体" w:hAnsi="宋体" w:eastAsia="宋体" w:cs="宋体"/>
          <w:bCs/>
          <w:color w:val="000000"/>
          <w:sz w:val="24"/>
          <w:highlight w:val="none"/>
        </w:rPr>
        <w:t>人员</w:t>
      </w:r>
      <w:r>
        <w:rPr>
          <w:rFonts w:hint="eastAsia" w:ascii="宋体" w:hAnsi="宋体" w:eastAsia="宋体" w:cs="宋体"/>
          <w:bCs/>
          <w:color w:val="000000"/>
          <w:sz w:val="24"/>
          <w:highlight w:val="none"/>
          <w:lang w:val="en-US" w:eastAsia="zh-CN"/>
        </w:rPr>
        <w:t>资质</w:t>
      </w:r>
      <w:r>
        <w:rPr>
          <w:rFonts w:hint="eastAsia" w:ascii="宋体" w:hAnsi="宋体" w:eastAsia="宋体" w:cs="宋体"/>
          <w:bCs/>
          <w:color w:val="000000"/>
          <w:sz w:val="24"/>
          <w:highlight w:val="none"/>
        </w:rPr>
        <w:t>要求</w:t>
      </w:r>
    </w:p>
    <w:p w14:paraId="66E8AE35">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1.资格要求：所有陪护人员需持护士资格证、养老护理员证或其他相关专业资格证书，具备相应的专业知识和技能。</w:t>
      </w:r>
    </w:p>
    <w:p w14:paraId="0D3A36AF">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2.经验要求：具有一年以上的陪护服务工作经验，熟悉各类休养人员的护理需求和特点，能独立应对常见突发情况。</w:t>
      </w:r>
    </w:p>
    <w:p w14:paraId="4C41574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3.素质要求：热爱护理工作，具备良好的职业道德和责任心，身体健康，确保无传染性疾病。</w:t>
      </w:r>
    </w:p>
    <w:p w14:paraId="26A0F1C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四、服务质量要求</w:t>
      </w:r>
    </w:p>
    <w:p w14:paraId="09CFD47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1.接到服务需求后，一小时内要到达服务地点。</w:t>
      </w:r>
    </w:p>
    <w:p w14:paraId="052D7A0F">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2.护理记录：每天详细记录休养人员的护理情况，包括饮食、睡眠、病情变化、护理措施等。</w:t>
      </w:r>
    </w:p>
    <w:p w14:paraId="5C4CDB1E">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3.</w:t>
      </w:r>
      <w:r>
        <w:rPr>
          <w:rFonts w:hint="eastAsia" w:ascii="宋体" w:hAnsi="宋体" w:eastAsia="宋体" w:cs="宋体"/>
          <w:bCs/>
          <w:color w:val="000000"/>
          <w:sz w:val="24"/>
          <w:highlight w:val="none"/>
          <w:lang w:eastAsia="zh-CN"/>
        </w:rPr>
        <w:t>要有</w:t>
      </w:r>
      <w:r>
        <w:rPr>
          <w:rFonts w:hint="eastAsia" w:ascii="宋体" w:hAnsi="宋体" w:eastAsia="宋体" w:cs="宋体"/>
          <w:bCs/>
          <w:color w:val="000000"/>
          <w:sz w:val="24"/>
          <w:highlight w:val="none"/>
        </w:rPr>
        <w:t>完善的管理制度和考核体系</w:t>
      </w:r>
      <w:r>
        <w:rPr>
          <w:rFonts w:hint="eastAsia" w:ascii="宋体" w:hAnsi="宋体" w:eastAsia="宋体" w:cs="宋体"/>
          <w:bCs/>
          <w:color w:val="000000"/>
          <w:sz w:val="24"/>
          <w:highlight w:val="none"/>
          <w:lang w:val="en-US" w:eastAsia="zh-CN"/>
        </w:rPr>
        <w:t>及</w:t>
      </w:r>
      <w:r>
        <w:rPr>
          <w:rFonts w:hint="eastAsia" w:ascii="宋体" w:hAnsi="宋体" w:eastAsia="宋体" w:cs="宋体"/>
          <w:bCs/>
          <w:color w:val="000000"/>
          <w:sz w:val="24"/>
          <w:highlight w:val="none"/>
        </w:rPr>
        <w:t>突发事件应急预案和处置机制。</w:t>
      </w:r>
    </w:p>
    <w:p w14:paraId="5FDA0A57">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4.针对每一位休养人员制定合理的服务方案。</w:t>
      </w:r>
    </w:p>
    <w:p w14:paraId="32BEC89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5.康复训练陪护每日单价固定，不因休养人员数量而改变。</w:t>
      </w:r>
    </w:p>
    <w:p w14:paraId="72A3891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五</w:t>
      </w:r>
      <w:r>
        <w:rPr>
          <w:rFonts w:hint="eastAsia" w:ascii="宋体" w:hAnsi="宋体" w:eastAsia="宋体" w:cs="宋体"/>
          <w:bCs/>
          <w:color w:val="000000"/>
          <w:sz w:val="24"/>
          <w:highlight w:val="none"/>
        </w:rPr>
        <w:t>、服务细节流程</w:t>
      </w:r>
    </w:p>
    <w:p w14:paraId="49F4B56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val="en-US" w:eastAsia="zh-CN"/>
        </w:rPr>
        <w:t>1.</w:t>
      </w:r>
      <w:r>
        <w:rPr>
          <w:rFonts w:hint="eastAsia" w:ascii="宋体" w:hAnsi="宋体" w:eastAsia="宋体" w:cs="宋体"/>
          <w:bCs/>
          <w:color w:val="000000"/>
          <w:sz w:val="24"/>
          <w:highlight w:val="none"/>
        </w:rPr>
        <w:t>入院前准备：接到陪护任务后，</w:t>
      </w:r>
      <w:r>
        <w:rPr>
          <w:rFonts w:hint="eastAsia" w:ascii="宋体" w:hAnsi="宋体" w:eastAsia="宋体" w:cs="宋体"/>
          <w:bCs/>
          <w:color w:val="000000"/>
          <w:sz w:val="24"/>
          <w:highlight w:val="none"/>
          <w:lang w:eastAsia="zh-CN"/>
        </w:rPr>
        <w:t>乙方</w:t>
      </w:r>
      <w:r>
        <w:rPr>
          <w:rFonts w:hint="eastAsia" w:ascii="宋体" w:hAnsi="宋体" w:eastAsia="宋体" w:cs="宋体"/>
          <w:bCs/>
          <w:color w:val="000000"/>
          <w:sz w:val="24"/>
          <w:highlight w:val="none"/>
        </w:rPr>
        <w:t>陪护人员与</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工作人员沟通，了解</w:t>
      </w:r>
      <w:r>
        <w:rPr>
          <w:rFonts w:hint="eastAsia" w:ascii="宋体" w:hAnsi="宋体" w:eastAsia="宋体" w:cs="宋体"/>
          <w:bCs/>
          <w:color w:val="000000"/>
          <w:sz w:val="24"/>
          <w:highlight w:val="none"/>
          <w:lang w:eastAsia="zh-CN"/>
        </w:rPr>
        <w:t>甲方休养</w:t>
      </w:r>
      <w:r>
        <w:rPr>
          <w:rFonts w:hint="eastAsia" w:ascii="宋体" w:hAnsi="宋体" w:eastAsia="宋体" w:cs="宋体"/>
          <w:bCs/>
          <w:color w:val="000000"/>
          <w:sz w:val="24"/>
          <w:highlight w:val="none"/>
        </w:rPr>
        <w:t>人员的基本情况，如病情、生活习惯、特殊需求等；</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提前到达医院，熟悉就医环境</w:t>
      </w:r>
      <w:r>
        <w:rPr>
          <w:rFonts w:hint="eastAsia" w:ascii="宋体" w:hAnsi="宋体" w:eastAsia="宋体" w:cs="宋体"/>
          <w:bCs/>
          <w:color w:val="000000"/>
          <w:sz w:val="24"/>
          <w:highlight w:val="none"/>
          <w:lang w:eastAsia="zh-CN"/>
        </w:rPr>
        <w:t>。</w:t>
      </w:r>
    </w:p>
    <w:p w14:paraId="7D9D3470">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2.</w:t>
      </w:r>
      <w:r>
        <w:rPr>
          <w:rFonts w:hint="eastAsia" w:ascii="宋体" w:hAnsi="宋体" w:eastAsia="宋体" w:cs="宋体"/>
          <w:bCs/>
          <w:color w:val="000000"/>
          <w:sz w:val="24"/>
          <w:highlight w:val="none"/>
        </w:rPr>
        <w:t>陪同检查治疗：按照医嘱，</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陪同</w:t>
      </w:r>
      <w:r>
        <w:rPr>
          <w:rFonts w:hint="eastAsia" w:ascii="宋体" w:hAnsi="宋体" w:eastAsia="宋体" w:cs="宋体"/>
          <w:bCs/>
          <w:color w:val="000000"/>
          <w:sz w:val="24"/>
          <w:highlight w:val="none"/>
          <w:lang w:eastAsia="zh-CN"/>
        </w:rPr>
        <w:t>甲方住院休养</w:t>
      </w:r>
      <w:r>
        <w:rPr>
          <w:rFonts w:hint="eastAsia" w:ascii="宋体" w:hAnsi="宋体" w:eastAsia="宋体" w:cs="宋体"/>
          <w:bCs/>
          <w:color w:val="000000"/>
          <w:sz w:val="24"/>
          <w:highlight w:val="none"/>
        </w:rPr>
        <w:t>人员进行各项检查和治疗，</w:t>
      </w:r>
      <w:r>
        <w:rPr>
          <w:rFonts w:hint="eastAsia" w:ascii="宋体" w:hAnsi="宋体" w:eastAsia="宋体" w:cs="宋体"/>
          <w:bCs/>
          <w:color w:val="000000"/>
          <w:sz w:val="24"/>
          <w:highlight w:val="none"/>
          <w:lang w:eastAsia="zh-CN"/>
        </w:rPr>
        <w:t>并</w:t>
      </w:r>
      <w:r>
        <w:rPr>
          <w:rFonts w:hint="eastAsia" w:ascii="宋体" w:hAnsi="宋体" w:eastAsia="宋体" w:cs="宋体"/>
          <w:bCs/>
          <w:color w:val="000000"/>
          <w:sz w:val="24"/>
          <w:highlight w:val="none"/>
        </w:rPr>
        <w:t>协助其做好检查前的准备工作；在</w:t>
      </w:r>
      <w:r>
        <w:rPr>
          <w:rFonts w:hint="eastAsia" w:ascii="宋体" w:hAnsi="宋体" w:eastAsia="宋体" w:cs="宋体"/>
          <w:bCs/>
          <w:color w:val="000000"/>
          <w:sz w:val="24"/>
          <w:highlight w:val="none"/>
          <w:lang w:eastAsia="zh-CN"/>
        </w:rPr>
        <w:t>甲方休养人员</w:t>
      </w:r>
      <w:r>
        <w:rPr>
          <w:rFonts w:hint="eastAsia" w:ascii="宋体" w:hAnsi="宋体" w:eastAsia="宋体" w:cs="宋体"/>
          <w:bCs/>
          <w:color w:val="000000"/>
          <w:sz w:val="24"/>
          <w:highlight w:val="none"/>
        </w:rPr>
        <w:t>检查治疗过程中，</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安抚其情绪，确保</w:t>
      </w:r>
      <w:r>
        <w:rPr>
          <w:rFonts w:hint="eastAsia" w:ascii="宋体" w:hAnsi="宋体" w:eastAsia="宋体" w:cs="宋体"/>
          <w:bCs/>
          <w:color w:val="000000"/>
          <w:sz w:val="24"/>
          <w:highlight w:val="none"/>
          <w:lang w:eastAsia="zh-CN"/>
        </w:rPr>
        <w:t>能</w:t>
      </w:r>
      <w:r>
        <w:rPr>
          <w:rFonts w:hint="eastAsia" w:ascii="宋体" w:hAnsi="宋体" w:eastAsia="宋体" w:cs="宋体"/>
          <w:bCs/>
          <w:color w:val="000000"/>
          <w:sz w:val="24"/>
          <w:highlight w:val="none"/>
        </w:rPr>
        <w:t>配合医护人员的操作；</w:t>
      </w:r>
      <w:r>
        <w:rPr>
          <w:rFonts w:hint="eastAsia" w:ascii="宋体" w:hAnsi="宋体" w:eastAsia="宋体" w:cs="宋体"/>
          <w:bCs/>
          <w:color w:val="000000"/>
          <w:sz w:val="24"/>
          <w:highlight w:val="none"/>
          <w:lang w:eastAsia="zh-CN"/>
        </w:rPr>
        <w:t>乙方陪护人员还应</w:t>
      </w:r>
      <w:r>
        <w:rPr>
          <w:rFonts w:hint="eastAsia" w:ascii="宋体" w:hAnsi="宋体" w:eastAsia="宋体" w:cs="宋体"/>
          <w:bCs/>
          <w:color w:val="000000"/>
          <w:sz w:val="24"/>
          <w:highlight w:val="none"/>
        </w:rPr>
        <w:t>及时向医护人员反馈</w:t>
      </w:r>
      <w:r>
        <w:rPr>
          <w:rFonts w:hint="eastAsia" w:ascii="宋体" w:hAnsi="宋体" w:eastAsia="宋体" w:cs="宋体"/>
          <w:bCs/>
          <w:color w:val="000000"/>
          <w:sz w:val="24"/>
          <w:highlight w:val="none"/>
          <w:lang w:eastAsia="zh-CN"/>
        </w:rPr>
        <w:t>甲方住院休养人员的</w:t>
      </w:r>
      <w:r>
        <w:rPr>
          <w:rFonts w:hint="eastAsia" w:ascii="宋体" w:hAnsi="宋体" w:eastAsia="宋体" w:cs="宋体"/>
          <w:bCs/>
          <w:color w:val="000000"/>
          <w:sz w:val="24"/>
          <w:highlight w:val="none"/>
        </w:rPr>
        <w:t>身体状况和不适反应。</w:t>
      </w:r>
    </w:p>
    <w:p w14:paraId="74F1C925">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3.</w:t>
      </w:r>
      <w:r>
        <w:rPr>
          <w:rFonts w:hint="eastAsia" w:ascii="宋体" w:hAnsi="宋体" w:eastAsia="宋体" w:cs="宋体"/>
          <w:bCs/>
          <w:color w:val="000000"/>
          <w:sz w:val="24"/>
          <w:highlight w:val="none"/>
        </w:rPr>
        <w:t>生活照料：</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协助</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进行日常生活护理，如洗漱、进食、穿衣、翻身、大小便等；根据其口味和病情，合理安排饮食，保证营养摄入；注意观察其皮肤状况，预防压疮等并发症的发生。</w:t>
      </w:r>
      <w:r>
        <w:rPr>
          <w:rFonts w:hint="eastAsia" w:ascii="宋体" w:hAnsi="宋体" w:eastAsia="宋体" w:cs="宋体"/>
          <w:bCs/>
          <w:color w:val="000000"/>
          <w:sz w:val="24"/>
          <w:highlight w:val="none"/>
          <w:lang w:val="en-US" w:eastAsia="zh-CN"/>
        </w:rPr>
        <w:t>以下为具体安排：</w:t>
      </w:r>
    </w:p>
    <w:p w14:paraId="38B9A7A4">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14:paraId="2DA5196C">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 w:val="0"/>
          <w:bCs w:val="0"/>
          <w:color w:val="auto"/>
          <w:sz w:val="24"/>
          <w:highlight w:val="none"/>
          <w:lang w:val="en-US" w:eastAsia="zh-CN"/>
        </w:rPr>
        <w:t>07:30 - 11:00：根据口味和病情，合理准备早餐，对于有特殊饮食要求的人员，严格按照医嘱准备；协助进食，对于不能自行进食的人员，耐心喂食，注意进食速度和食量，防止呛噎；进食结束后，清理口腔和用餐区域，保持干净，早餐一般在8：30前使用完毕，并根据医生或护士的治疗用药安排，调整舒适的体位，做好照料服务。</w:t>
      </w:r>
    </w:p>
    <w:p w14:paraId="42BAD539">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11:00 - 12:30：准备午餐，同样遵循口味和病情的要求；协助洗手，做好用餐准备；协助进食，过程中关注其食欲和进食情况；用餐结束后，清理口腔和用餐区域，为其安排舒适的休息姿势。</w:t>
      </w:r>
    </w:p>
    <w:p w14:paraId="5D56EE64">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12:30 - 14:30：帮助调整至舒适的睡眠姿势，拉好窗帘，营造安静的睡眠环境；在休息期间，定时巡视，观察其睡眠状态，如有异常及时处理。</w:t>
      </w:r>
    </w:p>
    <w:p w14:paraId="4729D272">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14:30 - 16:00：协助起床，进行简单的活动和洗漱，如洗手、洗脸；为其准备适量的水果或点心，补充能量；根据身体状况，安排适当的室内活动，如看书、下棋等。</w:t>
      </w:r>
    </w:p>
    <w:p w14:paraId="1700EA08">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14:paraId="2905BF72">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17:30 - 19:00：准备晚餐，协助用餐，过程同午餐；用餐结束后，清理口腔和用餐区域，保持卫生。</w:t>
      </w:r>
    </w:p>
    <w:p w14:paraId="703506BA">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19:00 - 20:30：协助进行晚间洗漱，包括刷牙、洗脸、洗脚、清洗会阴等；帮助其换上干净的睡衣，整理床铺，营造舒适的睡眠环境。</w:t>
      </w:r>
    </w:p>
    <w:p w14:paraId="081E4F15">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14:paraId="2581AB75">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4.</w:t>
      </w:r>
      <w:r>
        <w:rPr>
          <w:rFonts w:hint="eastAsia" w:ascii="宋体" w:hAnsi="宋体" w:eastAsia="宋体" w:cs="宋体"/>
          <w:bCs/>
          <w:color w:val="000000"/>
          <w:sz w:val="24"/>
          <w:highlight w:val="none"/>
        </w:rPr>
        <w:t>心理关怀：</w:t>
      </w:r>
      <w:r>
        <w:rPr>
          <w:rFonts w:hint="eastAsia" w:ascii="宋体" w:hAnsi="宋体" w:eastAsia="宋体" w:cs="宋体"/>
          <w:bCs/>
          <w:color w:val="000000"/>
          <w:sz w:val="24"/>
          <w:highlight w:val="none"/>
          <w:lang w:eastAsia="zh-CN"/>
        </w:rPr>
        <w:t>乙方陪护人员应</w:t>
      </w:r>
      <w:r>
        <w:rPr>
          <w:rFonts w:hint="eastAsia" w:ascii="宋体" w:hAnsi="宋体" w:eastAsia="宋体" w:cs="宋体"/>
          <w:bCs/>
          <w:color w:val="000000"/>
          <w:sz w:val="24"/>
          <w:highlight w:val="none"/>
        </w:rPr>
        <w:t>关注</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的情绪变化，给予心理支持和安慰；鼓励其表达内心感受，帮助其树立战胜疾病的信心；与</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工作人员和家属保持沟通，及时反馈</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的心理状态。</w:t>
      </w:r>
    </w:p>
    <w:p w14:paraId="4F8160A3">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5.</w:t>
      </w:r>
      <w:r>
        <w:rPr>
          <w:rFonts w:hint="eastAsia" w:ascii="宋体" w:hAnsi="宋体" w:eastAsia="宋体" w:cs="宋体"/>
          <w:bCs/>
          <w:color w:val="000000"/>
          <w:sz w:val="24"/>
          <w:highlight w:val="none"/>
        </w:rPr>
        <w:t>安全保障：</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确保</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在医院内的安全，防止走失、摔倒、烫伤等意外事件的发生；</w:t>
      </w:r>
      <w:r>
        <w:rPr>
          <w:rFonts w:hint="eastAsia" w:ascii="宋体" w:hAnsi="宋体" w:eastAsia="宋体" w:cs="宋体"/>
          <w:bCs/>
          <w:color w:val="000000"/>
          <w:sz w:val="24"/>
          <w:highlight w:val="none"/>
          <w:lang w:eastAsia="zh-CN"/>
        </w:rPr>
        <w:t>且</w:t>
      </w:r>
      <w:r>
        <w:rPr>
          <w:rFonts w:hint="eastAsia" w:ascii="宋体" w:hAnsi="宋体" w:eastAsia="宋体" w:cs="宋体"/>
          <w:bCs/>
          <w:color w:val="000000"/>
          <w:sz w:val="24"/>
          <w:highlight w:val="none"/>
        </w:rPr>
        <w:t>保管好个人物品，防止丢失或损坏；</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严格遵守医院的规章制度，不擅自离开陪护岗位。</w:t>
      </w:r>
    </w:p>
    <w:p w14:paraId="4432412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6.</w:t>
      </w:r>
      <w:r>
        <w:rPr>
          <w:rFonts w:hint="eastAsia" w:ascii="宋体" w:hAnsi="宋体" w:eastAsia="宋体" w:cs="宋体"/>
          <w:bCs/>
          <w:color w:val="000000"/>
          <w:sz w:val="24"/>
          <w:highlight w:val="none"/>
        </w:rPr>
        <w:t>出院准备：接到出院通知后，</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协助</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办理出院手续，领取药品和相关资料；准备好出院所需物品，护送其安全返回</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；与</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工作人员做好交接工作，详细介绍</w:t>
      </w:r>
      <w:r>
        <w:rPr>
          <w:rFonts w:hint="eastAsia" w:ascii="宋体" w:hAnsi="宋体" w:eastAsia="宋体" w:cs="宋体"/>
          <w:bCs/>
          <w:color w:val="000000"/>
          <w:sz w:val="24"/>
          <w:highlight w:val="none"/>
          <w:lang w:eastAsia="zh-CN"/>
        </w:rPr>
        <w:t>甲方休养人员</w:t>
      </w:r>
      <w:r>
        <w:rPr>
          <w:rFonts w:hint="eastAsia" w:ascii="宋体" w:hAnsi="宋体" w:eastAsia="宋体" w:cs="宋体"/>
          <w:bCs/>
          <w:color w:val="000000"/>
          <w:sz w:val="24"/>
          <w:highlight w:val="none"/>
        </w:rPr>
        <w:t>在医院的治疗情况和出院后的注意事项。</w:t>
      </w:r>
    </w:p>
    <w:p w14:paraId="46A3CDCC">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7.</w:t>
      </w:r>
      <w:r>
        <w:rPr>
          <w:rFonts w:hint="eastAsia" w:ascii="宋体" w:hAnsi="宋体" w:eastAsia="宋体" w:cs="宋体"/>
          <w:bCs/>
          <w:color w:val="000000"/>
          <w:sz w:val="24"/>
          <w:highlight w:val="none"/>
        </w:rPr>
        <w:t>工作情况记录</w:t>
      </w:r>
    </w:p>
    <w:p w14:paraId="77644796">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建立详细的工作记录表格，记录内容包括</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w:t>
      </w:r>
      <w:r>
        <w:rPr>
          <w:rFonts w:hint="eastAsia" w:ascii="宋体" w:hAnsi="宋体" w:eastAsia="宋体" w:cs="宋体"/>
          <w:bCs/>
          <w:color w:val="000000"/>
          <w:sz w:val="24"/>
          <w:highlight w:val="none"/>
          <w:lang w:eastAsia="zh-CN"/>
        </w:rPr>
        <w:t>乙方陪护人员要</w:t>
      </w:r>
      <w:r>
        <w:rPr>
          <w:rFonts w:hint="eastAsia" w:ascii="宋体" w:hAnsi="宋体" w:eastAsia="宋体" w:cs="宋体"/>
          <w:bCs/>
          <w:color w:val="000000"/>
          <w:sz w:val="24"/>
          <w:highlight w:val="none"/>
        </w:rPr>
        <w:t>及时在记录表格中进行填写，确保记录的准确性和及时性。对于异常情况，如病情加重、情绪波动等，详细记录发生时间、表现和处理措施</w:t>
      </w:r>
      <w:r>
        <w:rPr>
          <w:rFonts w:hint="eastAsia" w:ascii="宋体" w:hAnsi="宋体" w:eastAsia="宋体" w:cs="宋体"/>
          <w:bCs/>
          <w:color w:val="000000"/>
          <w:sz w:val="24"/>
          <w:highlight w:val="none"/>
          <w:lang w:eastAsia="zh-CN"/>
        </w:rPr>
        <w:t>。</w:t>
      </w:r>
      <w:r>
        <w:rPr>
          <w:rFonts w:hint="eastAsia" w:ascii="宋体" w:hAnsi="宋体" w:eastAsia="宋体" w:cs="宋体"/>
          <w:bCs/>
          <w:color w:val="000000"/>
          <w:sz w:val="24"/>
          <w:highlight w:val="none"/>
        </w:rPr>
        <w:t>每天下班前，</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对当天的工作记录进行整理和总结，确保服务的连续性。</w:t>
      </w:r>
    </w:p>
    <w:p w14:paraId="0981F8FF">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六、合同价款</w:t>
      </w:r>
    </w:p>
    <w:tbl>
      <w:tblPr>
        <w:tblStyle w:val="4"/>
        <w:tblW w:w="8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312"/>
        <w:gridCol w:w="4049"/>
        <w:gridCol w:w="2232"/>
      </w:tblGrid>
      <w:tr w14:paraId="2B35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86" w:type="dxa"/>
            <w:noWrap w:val="0"/>
            <w:vAlign w:val="center"/>
          </w:tcPr>
          <w:p w14:paraId="20B8192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序号</w:t>
            </w:r>
          </w:p>
        </w:tc>
        <w:tc>
          <w:tcPr>
            <w:tcW w:w="5361" w:type="dxa"/>
            <w:gridSpan w:val="2"/>
            <w:noWrap w:val="0"/>
            <w:vAlign w:val="center"/>
          </w:tcPr>
          <w:p w14:paraId="434400C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服务内容</w:t>
            </w:r>
          </w:p>
        </w:tc>
        <w:tc>
          <w:tcPr>
            <w:tcW w:w="2232" w:type="dxa"/>
            <w:noWrap w:val="0"/>
            <w:vAlign w:val="center"/>
          </w:tcPr>
          <w:p w14:paraId="75899DE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cs="宋体"/>
                <w:bCs/>
                <w:color w:val="000000"/>
                <w:sz w:val="24"/>
                <w:highlight w:val="none"/>
                <w:vertAlign w:val="baseline"/>
                <w:lang w:val="en-US" w:eastAsia="zh-CN"/>
              </w:rPr>
              <w:t>单价</w:t>
            </w:r>
          </w:p>
        </w:tc>
      </w:tr>
      <w:tr w14:paraId="370D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86" w:type="dxa"/>
            <w:vMerge w:val="restart"/>
            <w:noWrap w:val="0"/>
            <w:vAlign w:val="center"/>
          </w:tcPr>
          <w:p w14:paraId="7DC2BFA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1</w:t>
            </w:r>
          </w:p>
        </w:tc>
        <w:tc>
          <w:tcPr>
            <w:tcW w:w="1312" w:type="dxa"/>
            <w:vMerge w:val="restart"/>
            <w:noWrap w:val="0"/>
            <w:vAlign w:val="center"/>
          </w:tcPr>
          <w:p w14:paraId="1A751D8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住院照料服务</w:t>
            </w:r>
          </w:p>
        </w:tc>
        <w:tc>
          <w:tcPr>
            <w:tcW w:w="4049" w:type="dxa"/>
            <w:noWrap w:val="0"/>
            <w:vAlign w:val="center"/>
          </w:tcPr>
          <w:p w14:paraId="4A7325A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重症失能老人住院照料</w:t>
            </w:r>
          </w:p>
        </w:tc>
        <w:tc>
          <w:tcPr>
            <w:tcW w:w="2232" w:type="dxa"/>
            <w:noWrap w:val="0"/>
            <w:vAlign w:val="center"/>
          </w:tcPr>
          <w:p w14:paraId="50DE912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cs="宋体"/>
                <w:bCs/>
                <w:color w:val="000000"/>
                <w:sz w:val="24"/>
                <w:highlight w:val="none"/>
                <w:u w:val="single"/>
                <w:vertAlign w:val="baseline"/>
                <w:lang w:val="en-US" w:eastAsia="zh-CN"/>
              </w:rPr>
              <w:t xml:space="preserve">     </w:t>
            </w:r>
            <w:r>
              <w:rPr>
                <w:rFonts w:hint="eastAsia" w:ascii="宋体" w:hAnsi="宋体" w:cs="宋体"/>
                <w:bCs/>
                <w:color w:val="000000"/>
                <w:sz w:val="24"/>
                <w:highlight w:val="none"/>
                <w:vertAlign w:val="baseline"/>
                <w:lang w:val="en-US" w:eastAsia="zh-CN"/>
              </w:rPr>
              <w:t>元/天</w:t>
            </w:r>
          </w:p>
        </w:tc>
      </w:tr>
      <w:tr w14:paraId="2A99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86" w:type="dxa"/>
            <w:vMerge w:val="continue"/>
            <w:noWrap w:val="0"/>
            <w:vAlign w:val="center"/>
          </w:tcPr>
          <w:p w14:paraId="7BC240D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p>
        </w:tc>
        <w:tc>
          <w:tcPr>
            <w:tcW w:w="1312" w:type="dxa"/>
            <w:vMerge w:val="continue"/>
            <w:noWrap w:val="0"/>
            <w:vAlign w:val="center"/>
          </w:tcPr>
          <w:p w14:paraId="0381F00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p>
        </w:tc>
        <w:tc>
          <w:tcPr>
            <w:tcW w:w="4049" w:type="dxa"/>
            <w:noWrap w:val="0"/>
            <w:vAlign w:val="center"/>
          </w:tcPr>
          <w:p w14:paraId="4080547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半失能老人住院照料</w:t>
            </w:r>
          </w:p>
        </w:tc>
        <w:tc>
          <w:tcPr>
            <w:tcW w:w="2232" w:type="dxa"/>
            <w:noWrap w:val="0"/>
            <w:vAlign w:val="center"/>
          </w:tcPr>
          <w:p w14:paraId="1B96E97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r>
              <w:rPr>
                <w:rFonts w:hint="eastAsia" w:ascii="宋体" w:hAnsi="宋体" w:cs="宋体"/>
                <w:bCs/>
                <w:color w:val="000000"/>
                <w:sz w:val="24"/>
                <w:highlight w:val="none"/>
                <w:u w:val="single"/>
                <w:vertAlign w:val="baseline"/>
                <w:lang w:val="en-US" w:eastAsia="zh-CN"/>
              </w:rPr>
              <w:t xml:space="preserve">      </w:t>
            </w:r>
            <w:r>
              <w:rPr>
                <w:rFonts w:hint="eastAsia" w:ascii="宋体" w:hAnsi="宋体" w:cs="宋体"/>
                <w:bCs/>
                <w:color w:val="000000"/>
                <w:sz w:val="24"/>
                <w:highlight w:val="none"/>
                <w:vertAlign w:val="baseline"/>
                <w:lang w:val="en-US" w:eastAsia="zh-CN"/>
              </w:rPr>
              <w:t>元/天</w:t>
            </w:r>
          </w:p>
        </w:tc>
      </w:tr>
      <w:tr w14:paraId="10C06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86" w:type="dxa"/>
            <w:vMerge w:val="restart"/>
            <w:noWrap w:val="0"/>
            <w:vAlign w:val="center"/>
          </w:tcPr>
          <w:p w14:paraId="730DAAC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2</w:t>
            </w:r>
          </w:p>
        </w:tc>
        <w:tc>
          <w:tcPr>
            <w:tcW w:w="1312" w:type="dxa"/>
            <w:vMerge w:val="restart"/>
            <w:noWrap w:val="0"/>
            <w:vAlign w:val="center"/>
          </w:tcPr>
          <w:p w14:paraId="66EF0C9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洗澡照料服务</w:t>
            </w:r>
          </w:p>
        </w:tc>
        <w:tc>
          <w:tcPr>
            <w:tcW w:w="4049" w:type="dxa"/>
            <w:noWrap w:val="0"/>
            <w:vAlign w:val="center"/>
          </w:tcPr>
          <w:p w14:paraId="1486363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失能老人洗澡照料服务</w:t>
            </w:r>
          </w:p>
        </w:tc>
        <w:tc>
          <w:tcPr>
            <w:tcW w:w="2232" w:type="dxa"/>
            <w:noWrap w:val="0"/>
            <w:vAlign w:val="center"/>
          </w:tcPr>
          <w:p w14:paraId="0A07FEE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000000"/>
                <w:sz w:val="24"/>
                <w:highlight w:val="none"/>
                <w:vertAlign w:val="baseline"/>
                <w:lang w:val="en-US" w:eastAsia="zh-CN"/>
              </w:rPr>
            </w:pPr>
            <w:r>
              <w:rPr>
                <w:rFonts w:hint="eastAsia" w:ascii="宋体" w:hAnsi="宋体" w:cs="宋体"/>
                <w:bCs/>
                <w:color w:val="000000"/>
                <w:sz w:val="24"/>
                <w:highlight w:val="none"/>
                <w:u w:val="single"/>
                <w:vertAlign w:val="baseline"/>
                <w:lang w:val="en-US" w:eastAsia="zh-CN"/>
              </w:rPr>
              <w:t xml:space="preserve">      </w:t>
            </w:r>
            <w:r>
              <w:rPr>
                <w:rFonts w:hint="eastAsia" w:ascii="宋体" w:hAnsi="宋体" w:cs="宋体"/>
                <w:bCs/>
                <w:color w:val="000000"/>
                <w:sz w:val="24"/>
                <w:highlight w:val="none"/>
                <w:vertAlign w:val="baseline"/>
                <w:lang w:val="en-US" w:eastAsia="zh-CN"/>
              </w:rPr>
              <w:t>元/人/次</w:t>
            </w:r>
          </w:p>
        </w:tc>
      </w:tr>
      <w:tr w14:paraId="6EAC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86" w:type="dxa"/>
            <w:vMerge w:val="continue"/>
            <w:noWrap w:val="0"/>
            <w:vAlign w:val="center"/>
          </w:tcPr>
          <w:p w14:paraId="47C988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p>
        </w:tc>
        <w:tc>
          <w:tcPr>
            <w:tcW w:w="1312" w:type="dxa"/>
            <w:vMerge w:val="continue"/>
            <w:noWrap w:val="0"/>
            <w:vAlign w:val="center"/>
          </w:tcPr>
          <w:p w14:paraId="4C40199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p>
        </w:tc>
        <w:tc>
          <w:tcPr>
            <w:tcW w:w="4049" w:type="dxa"/>
            <w:noWrap w:val="0"/>
            <w:vAlign w:val="center"/>
          </w:tcPr>
          <w:p w14:paraId="0E64DB4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r>
              <w:rPr>
                <w:rFonts w:hint="eastAsia" w:ascii="宋体" w:hAnsi="宋体" w:eastAsia="宋体" w:cs="宋体"/>
                <w:bCs/>
                <w:color w:val="000000"/>
                <w:sz w:val="24"/>
                <w:highlight w:val="none"/>
                <w:vertAlign w:val="baseline"/>
                <w:lang w:val="en-US" w:eastAsia="zh-CN"/>
              </w:rPr>
              <w:t>半失能老人洗澡照料服务</w:t>
            </w:r>
          </w:p>
        </w:tc>
        <w:tc>
          <w:tcPr>
            <w:tcW w:w="2232" w:type="dxa"/>
            <w:noWrap w:val="0"/>
            <w:vAlign w:val="center"/>
          </w:tcPr>
          <w:p w14:paraId="12D0FCF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Cs/>
                <w:color w:val="000000"/>
                <w:sz w:val="24"/>
                <w:highlight w:val="none"/>
                <w:vertAlign w:val="baseline"/>
                <w:lang w:val="en-US" w:eastAsia="zh-CN"/>
              </w:rPr>
            </w:pPr>
            <w:r>
              <w:rPr>
                <w:rFonts w:hint="eastAsia" w:ascii="宋体" w:hAnsi="宋体" w:cs="宋体"/>
                <w:bCs/>
                <w:color w:val="000000"/>
                <w:sz w:val="24"/>
                <w:highlight w:val="none"/>
                <w:u w:val="single"/>
                <w:vertAlign w:val="baseline"/>
                <w:lang w:val="en-US" w:eastAsia="zh-CN"/>
              </w:rPr>
              <w:t xml:space="preserve">      </w:t>
            </w:r>
            <w:r>
              <w:rPr>
                <w:rFonts w:hint="eastAsia" w:ascii="宋体" w:hAnsi="宋体" w:cs="宋体"/>
                <w:bCs/>
                <w:color w:val="000000"/>
                <w:sz w:val="24"/>
                <w:highlight w:val="none"/>
                <w:vertAlign w:val="baseline"/>
                <w:lang w:val="en-US" w:eastAsia="zh-CN"/>
              </w:rPr>
              <w:t>元/人/次</w:t>
            </w:r>
          </w:p>
        </w:tc>
      </w:tr>
    </w:tbl>
    <w:p w14:paraId="5991CFA2">
      <w:pPr>
        <w:snapToGrid w:val="0"/>
        <w:spacing w:line="360" w:lineRule="auto"/>
        <w:rPr>
          <w:rFonts w:hint="eastAsia" w:ascii="宋体" w:hAnsi="宋体" w:eastAsia="宋体" w:cs="宋体"/>
          <w:bCs/>
          <w:color w:val="000000"/>
          <w:sz w:val="24"/>
          <w:highlight w:val="none"/>
          <w:lang w:eastAsia="zh-CN"/>
        </w:rPr>
      </w:pPr>
    </w:p>
    <w:p w14:paraId="3F529B29">
      <w:pPr>
        <w:snapToGrid w:val="0"/>
        <w:spacing w:line="360" w:lineRule="auto"/>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eastAsia="zh-CN"/>
        </w:rPr>
        <w:t>项目</w:t>
      </w:r>
      <w:r>
        <w:rPr>
          <w:rFonts w:hint="eastAsia" w:ascii="宋体" w:hAnsi="宋体" w:eastAsia="宋体" w:cs="宋体"/>
          <w:bCs/>
          <w:color w:val="auto"/>
          <w:sz w:val="24"/>
          <w:highlight w:val="none"/>
          <w:lang w:val="en-US" w:eastAsia="zh-CN"/>
        </w:rPr>
        <w:t>预算总额</w:t>
      </w:r>
      <w:r>
        <w:rPr>
          <w:rFonts w:hint="eastAsia" w:ascii="宋体" w:hAnsi="宋体" w:eastAsia="宋体" w:cs="宋体"/>
          <w:bCs/>
          <w:color w:val="auto"/>
          <w:sz w:val="24"/>
          <w:highlight w:val="none"/>
          <w:lang w:eastAsia="zh-CN"/>
        </w:rPr>
        <w:t>为</w:t>
      </w:r>
      <w:r>
        <w:rPr>
          <w:rFonts w:hint="eastAsia" w:ascii="宋体" w:hAnsi="宋体" w:eastAsia="宋体" w:cs="宋体"/>
          <w:bCs/>
          <w:color w:val="auto"/>
          <w:sz w:val="24"/>
          <w:highlight w:val="none"/>
          <w:lang w:val="en-US" w:eastAsia="zh-CN"/>
        </w:rPr>
        <w:t>25万人民币（不包含甲方住院人员餐饮费用，不包含甲方住院人员应急日杂费用）。</w:t>
      </w:r>
    </w:p>
    <w:p w14:paraId="7506526F">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七、付款方式</w:t>
      </w:r>
    </w:p>
    <w:p w14:paraId="3A146A42">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eastAsia="zh-CN"/>
        </w:rPr>
        <w:t>经甲方核对无误后，分陪护费、饮食费、应急日杂费按月据实结算</w:t>
      </w:r>
      <w:r>
        <w:rPr>
          <w:rFonts w:hint="eastAsia" w:ascii="宋体" w:hAnsi="宋体" w:eastAsia="宋体" w:cs="宋体"/>
          <w:bCs/>
          <w:color w:val="000000"/>
          <w:sz w:val="24"/>
          <w:highlight w:val="none"/>
        </w:rPr>
        <w:t>，年度末结清所有费用。</w:t>
      </w:r>
    </w:p>
    <w:p w14:paraId="75E672B5">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八、服务期：</w:t>
      </w:r>
      <w:r>
        <w:rPr>
          <w:rFonts w:hint="eastAsia" w:ascii="宋体" w:hAnsi="宋体" w:cs="宋体"/>
          <w:bCs/>
          <w:color w:val="000000"/>
          <w:sz w:val="24"/>
          <w:highlight w:val="none"/>
          <w:lang w:val="en-US" w:eastAsia="zh-CN"/>
        </w:rPr>
        <w:t xml:space="preserve">   </w:t>
      </w:r>
      <w:r>
        <w:rPr>
          <w:rFonts w:hint="eastAsia" w:ascii="宋体" w:hAnsi="宋体" w:eastAsia="宋体" w:cs="宋体"/>
          <w:bCs/>
          <w:color w:val="000000"/>
          <w:sz w:val="24"/>
          <w:highlight w:val="none"/>
          <w:lang w:val="en-US" w:eastAsia="zh-CN"/>
        </w:rPr>
        <w:t>。</w:t>
      </w:r>
      <w:bookmarkStart w:id="5" w:name="_GoBack"/>
      <w:bookmarkEnd w:id="5"/>
    </w:p>
    <w:p w14:paraId="49603190">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九、</w:t>
      </w:r>
      <w:bookmarkStart w:id="1" w:name="_Toc4588"/>
      <w:r>
        <w:rPr>
          <w:rFonts w:hint="eastAsia" w:ascii="宋体" w:hAnsi="宋体" w:eastAsia="宋体" w:cs="宋体"/>
          <w:bCs/>
          <w:color w:val="000000"/>
          <w:sz w:val="24"/>
          <w:highlight w:val="none"/>
          <w:lang w:val="en-US" w:eastAsia="zh-CN"/>
        </w:rPr>
        <w:t>服务标准：符合服务要求和行业标准</w:t>
      </w:r>
      <w:bookmarkEnd w:id="1"/>
      <w:r>
        <w:rPr>
          <w:rFonts w:hint="eastAsia" w:ascii="宋体" w:hAnsi="宋体" w:eastAsia="宋体" w:cs="宋体"/>
          <w:bCs/>
          <w:color w:val="000000"/>
          <w:sz w:val="24"/>
          <w:highlight w:val="none"/>
          <w:lang w:val="en-US" w:eastAsia="zh-CN"/>
        </w:rPr>
        <w:t>。</w:t>
      </w:r>
    </w:p>
    <w:p w14:paraId="0B41DD5A">
      <w:pPr>
        <w:snapToGrid w:val="0"/>
        <w:spacing w:line="360" w:lineRule="auto"/>
        <w:ind w:firstLine="480" w:firstLineChars="200"/>
        <w:rPr>
          <w:rFonts w:hint="eastAsia" w:ascii="宋体" w:hAnsi="宋体" w:eastAsia="宋体" w:cs="宋体"/>
          <w:bCs/>
          <w:color w:val="000000"/>
          <w:sz w:val="24"/>
          <w:highlight w:val="none"/>
          <w:lang w:eastAsia="zh-CN"/>
        </w:rPr>
      </w:pPr>
      <w:bookmarkStart w:id="2" w:name="_Toc15017"/>
      <w:r>
        <w:rPr>
          <w:rFonts w:hint="eastAsia" w:ascii="宋体" w:hAnsi="宋体" w:eastAsia="宋体" w:cs="宋体"/>
          <w:bCs/>
          <w:color w:val="000000"/>
          <w:sz w:val="24"/>
          <w:highlight w:val="none"/>
          <w:lang w:eastAsia="zh-CN"/>
        </w:rPr>
        <w:t>十、责任与风险：</w:t>
      </w:r>
      <w:bookmarkEnd w:id="2"/>
      <w:r>
        <w:rPr>
          <w:rFonts w:hint="eastAsia" w:ascii="宋体" w:hAnsi="宋体" w:eastAsia="宋体" w:cs="宋体"/>
          <w:bCs/>
          <w:color w:val="000000"/>
          <w:sz w:val="24"/>
          <w:highlight w:val="none"/>
          <w:lang w:eastAsia="zh-CN"/>
        </w:rPr>
        <w:t xml:space="preserve"> </w:t>
      </w:r>
    </w:p>
    <w:p w14:paraId="75F21D3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由于乙方员工工作失误引起的纠纷或责任，乙方负全责。甲乙双方的责任根据如下原则进行区分。 </w:t>
      </w:r>
    </w:p>
    <w:p w14:paraId="18BEDC85">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（一）护理事故风险：</w:t>
      </w:r>
    </w:p>
    <w:p w14:paraId="1D7B1FDD">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 在执行生活护理过程中，由于员工工作失误造成的服务对象摔跌、坠床、烫伤、压疮和自杀等意外时，乙方负责与家属协调并承担全部责任。</w:t>
      </w:r>
    </w:p>
    <w:p w14:paraId="6F2547AE">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2. 员工在进行生活护理的同时有义务协助护士观察发现并及时报告病情变化，若因员工拖延反映或者不反映患者主诉严重不适者，导致的延误抢救或意外发生，乙方负责与家属协调并承担相应责任。 </w:t>
      </w:r>
    </w:p>
    <w:p w14:paraId="4A48C2EB">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（二）管理风险</w:t>
      </w:r>
    </w:p>
    <w:p w14:paraId="259E9C9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员工偷吃服务对象饭食、盗窃财物、使用电器做饭等违规行为，给甲方造成经济损失的全额赔偿，同时视为乙方违约，乙方需向甲方承担违约责任。 </w:t>
      </w:r>
    </w:p>
    <w:p w14:paraId="7E1210F1">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（三）其他风险</w:t>
      </w:r>
    </w:p>
    <w:p w14:paraId="230DFF7B">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其他赔偿责任，依据中华人民共和国法律，由甲乙双方在公平、公正的原则下协商解决。 </w:t>
      </w:r>
    </w:p>
    <w:p w14:paraId="1F86FFAB">
      <w:pPr>
        <w:snapToGrid w:val="0"/>
        <w:spacing w:line="360" w:lineRule="auto"/>
        <w:ind w:firstLine="480" w:firstLineChars="200"/>
        <w:rPr>
          <w:rFonts w:hint="eastAsia" w:ascii="宋体" w:hAnsi="宋体" w:eastAsia="宋体" w:cs="宋体"/>
          <w:bCs/>
          <w:color w:val="000000"/>
          <w:sz w:val="24"/>
          <w:highlight w:val="none"/>
          <w:lang w:eastAsia="zh-CN"/>
        </w:rPr>
      </w:pPr>
      <w:bookmarkStart w:id="3" w:name="_Toc27810"/>
      <w:r>
        <w:rPr>
          <w:rFonts w:hint="eastAsia" w:ascii="宋体" w:hAnsi="宋体" w:eastAsia="宋体" w:cs="宋体"/>
          <w:bCs/>
          <w:color w:val="000000"/>
          <w:sz w:val="24"/>
          <w:highlight w:val="none"/>
          <w:lang w:eastAsia="zh-CN"/>
        </w:rPr>
        <w:t>十一、违约条款 ：</w:t>
      </w:r>
      <w:bookmarkEnd w:id="3"/>
    </w:p>
    <w:p w14:paraId="282685B3">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乙方违反本协议任一条约定的，每出现一次违约行为，需按照合同约定最高金额的5%向甲方承担违约责任；同一违约事项出现2次及以上的，每次按照合同约定最高金额的10%承担违约责任；乙方谎报、虚报饮食费、日杂费用的，乙方需按照谎报、续保金额的2倍向甲方支付违约金，甲方对乙方提报费用产生质疑的，乙方有义务提供相关支付记录等佐证资料，拒不提供的视为谎报、虚报费用。</w:t>
      </w:r>
    </w:p>
    <w:p w14:paraId="2CB4D214">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 如果因乙方人力不足，给甲方造成的人员加班费用，由乙方承担。</w:t>
      </w:r>
    </w:p>
    <w:p w14:paraId="3521986C">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3.乙方有下列情形之一的，甲方有权提前解除本协议，拒绝支付任何费用，乙方需按照合同约定最高金额的30%向甲方支付违约金，本合同约定的其他违约金一并适用。给甲方造成损失的，还需赔偿全部损失。</w:t>
      </w:r>
    </w:p>
    <w:p w14:paraId="4789582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（1）乙方拒绝提供陪护服务或懈怠履行合同义务的；</w:t>
      </w:r>
    </w:p>
    <w:p w14:paraId="1A6C4A33">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（2）乙方擅自转委托的；或乙方指派工作人员不符合合同约定资质、条件的。</w:t>
      </w:r>
    </w:p>
    <w:p w14:paraId="0A7CD83C">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（3）乙方违反保密约定，造成甲方或患者及其家属信息泄露的；</w:t>
      </w:r>
    </w:p>
    <w:p w14:paraId="68B815D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（4）乙方指派工作人员严重失职，造成患者或院方人身损害、较大经济损失的。</w:t>
      </w:r>
    </w:p>
    <w:p w14:paraId="5E95A55A">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（5）乙方未按甲方要求做好陪护记录，或甲方认为陪护服务存在较大瑕疵的；</w:t>
      </w:r>
    </w:p>
    <w:p w14:paraId="76F12011">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（6）乙方丧失或可能丧失履约能力的，或有负面舆情的；</w:t>
      </w:r>
    </w:p>
    <w:p w14:paraId="146F2074">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（7）其他因乙方原因造成甲方较大损失或负面舆情的；或乙方违约，经甲方提醒一次仍未改正的。</w:t>
      </w:r>
    </w:p>
    <w:p w14:paraId="28FF3B3E">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十二、争议解决：本协议在履行过程中发生争议，由双方协商解决，协商不成的，双方同意在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 xml:space="preserve">法院诉讼解决。 </w:t>
      </w:r>
    </w:p>
    <w:p w14:paraId="39DFFB15">
      <w:pPr>
        <w:snapToGrid w:val="0"/>
        <w:spacing w:line="360" w:lineRule="auto"/>
        <w:ind w:firstLine="480" w:firstLineChars="200"/>
        <w:rPr>
          <w:rFonts w:hint="eastAsia" w:ascii="宋体" w:hAnsi="宋体" w:eastAsia="宋体" w:cs="宋体"/>
          <w:bCs/>
          <w:color w:val="000000"/>
          <w:sz w:val="24"/>
          <w:highlight w:val="none"/>
          <w:lang w:eastAsia="zh-CN"/>
        </w:rPr>
      </w:pPr>
      <w:bookmarkStart w:id="4" w:name="_Toc11398"/>
      <w:r>
        <w:rPr>
          <w:rFonts w:hint="eastAsia" w:ascii="宋体" w:hAnsi="宋体" w:eastAsia="宋体" w:cs="宋体"/>
          <w:bCs/>
          <w:color w:val="000000"/>
          <w:sz w:val="24"/>
          <w:highlight w:val="none"/>
          <w:lang w:eastAsia="zh-CN"/>
        </w:rPr>
        <w:t>十三、其他条款：</w:t>
      </w:r>
      <w:bookmarkEnd w:id="4"/>
      <w:r>
        <w:rPr>
          <w:rFonts w:hint="eastAsia" w:ascii="宋体" w:hAnsi="宋体" w:eastAsia="宋体" w:cs="宋体"/>
          <w:bCs/>
          <w:color w:val="000000"/>
          <w:sz w:val="24"/>
          <w:highlight w:val="none"/>
          <w:lang w:eastAsia="zh-CN"/>
        </w:rPr>
        <w:t xml:space="preserve"> </w:t>
      </w:r>
    </w:p>
    <w:p w14:paraId="3E60D88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合同自双方盖章之日起生效，合同签订地点为</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w:t>
      </w:r>
    </w:p>
    <w:p w14:paraId="2CFCACCA">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本合同未尽事宜双方签订补充协议,其内容具有同等法律效力。补充协议与本协议不 一致时,以补充协议为准。合同所有内容均为打印文书，任何手写内容无效。</w:t>
      </w:r>
    </w:p>
    <w:p w14:paraId="02F53D9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本合同一式伍份，甲方肆份，乙方壹份。</w:t>
      </w:r>
    </w:p>
    <w:p w14:paraId="00F96E5F">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4</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中的通讯地址为甲乙双方互发函件确认能够接收的地址，若有变更应在变更后5个工作日内书面通知对方，否则对方按此地址送达的任何文件在发出3日后即视为送达，通过电子邮件、微信方式送达的，一经发出即视为送达。若发生纠纷的，该地址作为法院或仲裁机构寄发相应法律文件的送达地址，因一方预留地址有误或变更通讯地址而未通知对方的，对方、法院或仲裁机构按原地址发出通知或文件3日后，视为已送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3"/>
        <w:gridCol w:w="4729"/>
      </w:tblGrid>
      <w:tr w14:paraId="3FBF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1" w:hRule="atLeast"/>
        </w:trPr>
        <w:tc>
          <w:tcPr>
            <w:tcW w:w="4078" w:type="dxa"/>
            <w:noWrap w:val="0"/>
            <w:vAlign w:val="top"/>
          </w:tcPr>
          <w:p w14:paraId="72D8068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p w14:paraId="4F1F8BA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2780A23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6A998E2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6531378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传真：</w:t>
            </w:r>
          </w:p>
          <w:p w14:paraId="34BA5F9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代表签字或盖章:</w:t>
            </w:r>
          </w:p>
          <w:p w14:paraId="7804630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盖章：</w:t>
            </w:r>
          </w:p>
          <w:p w14:paraId="74F3F9C4">
            <w:pPr>
              <w:pStyle w:val="2"/>
              <w:rPr>
                <w:rFonts w:hint="eastAsia"/>
              </w:rPr>
            </w:pPr>
            <w:r>
              <w:rPr>
                <w:rFonts w:hint="eastAsia" w:ascii="宋体" w:hAnsi="宋体" w:eastAsia="宋体" w:cs="宋体"/>
                <w:color w:val="auto"/>
                <w:sz w:val="24"/>
                <w:szCs w:val="24"/>
                <w:lang w:eastAsia="zh-CN"/>
              </w:rPr>
              <w:t>时间：</w:t>
            </w:r>
          </w:p>
        </w:tc>
        <w:tc>
          <w:tcPr>
            <w:tcW w:w="5101" w:type="dxa"/>
            <w:noWrap w:val="0"/>
            <w:vAlign w:val="top"/>
          </w:tcPr>
          <w:p w14:paraId="651AB4F4">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乙方名称：</w:t>
            </w:r>
            <w:r>
              <w:rPr>
                <w:rFonts w:hint="eastAsia" w:ascii="宋体" w:hAnsi="宋体" w:eastAsia="宋体" w:cs="宋体"/>
                <w:color w:val="auto"/>
                <w:sz w:val="24"/>
                <w:szCs w:val="24"/>
                <w:lang w:val="en-US" w:eastAsia="zh-CN"/>
              </w:rPr>
              <w:t xml:space="preserve"> </w:t>
            </w:r>
          </w:p>
          <w:p w14:paraId="4FB9149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2E1CCC2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55A7994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6C02C4E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传真：</w:t>
            </w:r>
          </w:p>
          <w:p w14:paraId="3F9858B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代表签字或盖章:</w:t>
            </w:r>
          </w:p>
          <w:p w14:paraId="14C859C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盖章：</w:t>
            </w:r>
          </w:p>
          <w:p w14:paraId="6BD0308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时间：</w:t>
            </w:r>
          </w:p>
        </w:tc>
      </w:tr>
      <w:tr w14:paraId="75DF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9179" w:type="dxa"/>
            <w:gridSpan w:val="2"/>
            <w:noWrap w:val="0"/>
            <w:vAlign w:val="top"/>
          </w:tcPr>
          <w:p w14:paraId="10A67F6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鉴证方名称(公章)：</w:t>
            </w:r>
          </w:p>
          <w:p w14:paraId="66B869DC">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经办人：</w:t>
            </w:r>
          </w:p>
          <w:p w14:paraId="3E19DC82">
            <w:pPr>
              <w:pStyle w:val="2"/>
              <w:rPr>
                <w:rFonts w:hint="eastAsia"/>
                <w:lang w:eastAsia="zh-CN"/>
              </w:rPr>
            </w:pPr>
            <w:r>
              <w:rPr>
                <w:rFonts w:hint="eastAsia" w:ascii="宋体" w:hAnsi="宋体" w:eastAsia="宋体" w:cs="宋体"/>
                <w:color w:val="auto"/>
                <w:sz w:val="24"/>
                <w:szCs w:val="24"/>
                <w:lang w:eastAsia="zh-CN"/>
              </w:rPr>
              <w:t>时间：</w:t>
            </w:r>
          </w:p>
        </w:tc>
      </w:tr>
    </w:tbl>
    <w:p w14:paraId="5F6CA3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6338C"/>
    <w:rsid w:val="2BF65695"/>
    <w:rsid w:val="35563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table" w:styleId="4">
    <w:name w:val="Table Grid"/>
    <w:basedOn w:val="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8555</Words>
  <Characters>8854</Characters>
  <Lines>0</Lines>
  <Paragraphs>0</Paragraphs>
  <TotalTime>0</TotalTime>
  <ScaleCrop>false</ScaleCrop>
  <LinksUpToDate>false</LinksUpToDate>
  <CharactersWithSpaces>9081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2026-05-11T05:07:00Z</dcterms:created>
  <dc:creator>young</dc:creator>
  <cp:lastModifiedBy>young</cp:lastModifiedBy>
  <dcterms:modified xsi:type="dcterms:W3CDTF">2026-05-11T05:33:21Z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D441B442701F4B5D9100B40E13B29BFA_11</vt:lpwstr>
  </property>
  <property fmtid="{D5CDD505-2E9C-101B-9397-08002B2CF9AE}" pid="4" name="KSOTemplateDocerSaveRecord">
    <vt:lpwstr>eyJoZGlkIjoiYzE4YzhkODJhMjU4NDU4YmEzOWI1N2E0OTViNDJkMTciLCJ1c2VySWQiOiIzMjM2OTc4NTYifQ==</vt:lpwstr>
  </property>
</Properties>
</file>